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2024年第24期（6月10日-16日）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2024年6月10日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1.习近平致中国工程院建院30周年的贺信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2.习近平复信美国肯恩大学校长雷波列特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3.习近平会见巴西副总统阿尔克明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ascii="微软雅黑" w:hAnsi="微软雅黑" w:eastAsia="微软雅黑" w:cs="微软雅黑"/>
          <w:b/>
          <w:bCs/>
          <w:i w:val="0"/>
          <w:iCs w:val="0"/>
          <w:caps w:val="0"/>
          <w:color w:val="333333"/>
          <w:spacing w:val="0"/>
          <w:sz w:val="48"/>
          <w:szCs w:val="48"/>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4.习近平会见巴基斯坦总理夏巴兹</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sz w:val="32"/>
          <w:szCs w:val="32"/>
        </w:rPr>
        <w:sectPr>
          <w:pgSz w:w="11906" w:h="16838"/>
          <w:pgMar w:top="1440" w:right="1800" w:bottom="1440" w:left="1800" w:header="851" w:footer="992" w:gutter="0"/>
          <w:pgNumType w:fmt="decimal" w:start="1"/>
          <w:cols w:space="425" w:num="1"/>
          <w:docGrid w:type="lines" w:linePitch="312" w:charSpace="0"/>
        </w:sectPr>
      </w:pP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习近平致中国工程院建院30周年的贺信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值此中国工程院建院30周年之际，我代表党中央，向你们致以热烈祝贺！向全院院士和广大工程科技工作者致以诚挚问候！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30年来，在党的坚强领导下，中国工程院团结凝聚院士和广大工程科技工作者，大力推动工程科技发展，不断攻克科技难关，建设大国工程，铸造国之重器，为推动我国工程科技创新进步、促进经济社会高质量发展作出了重要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工程科技是推动人类社会发展的重要引擎。希望中国工程院在新的起点上，发挥国家战略科技力量作用，弘扬科学家精神，引领工程科技创新，加快突破关键核心技术，强化国家高端智库职能，为实现高水平科技自立自强、建设世界科技强国作出新的更大贡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0" w:firstLineChars="2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习近平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2024年6月3日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习近平复信美国肯恩大学校长雷波列特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新华社北京6月6日电 近日，国家主席习近平复信美国肯恩大学校长拉蒙·雷波列特，鼓励中美两国高校加强交流合作，为促进中美友好贡献力量。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习近平表示，2006年，我在贵校见证了中美合作创办温州肯恩大学签约仪式。在双方共同努力下，温州肯恩大学办学成果显著，已经成为中美教育合作的标志性项目，令人高兴。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中美关系事关两国人民福祉和人类前途命运。教育交流合作有助于促进两国人民特别是青年相知相近，是发展中美关系的未来工程。你在信中表示，将深化与温州肯恩大学的合作，鼓励美国学生来华交流学习，我很赞赏。希望两国高校通过多种形式加强交流合作，培养既了解中国也熟知美国的青年使者，为促进中美友好搭建更多桥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习近平在复信中说，欢迎你和美国教育界其他人士多来中国走走看看，也请转达我对前任校长法拉希博士的问候。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2006年5月，在时任浙江省委书记习近平关心推动下，温州大学和美国肯恩大学正式签约，决定合作创办温州肯恩大学。2014年，经教育部批准，温州肯恩大学正式设立，目前共有本硕博学生约4500人，已培养8届本科毕业生总计3300余人。近日，美国肯恩大学校长雷波列特致信习近平主席，介绍合作办学情况及成果，表示将积极响应习主席倡议，助力更多美国青少年来华交流学习，推动中美青年一代加强交流。</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习近平会见巴西副总统阿尔克明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新华社北京6月7日电（记者孙奕）6月7日下午，国家主席习近平在北京人民大会堂会见来华正式访问的巴西副总统阿尔克明。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中巴是志同道合的好朋友、携手前行的好伙伴。去年4月，我同卢拉总统就引领开辟新时代中巴关系新未来达成重要共识。一年多来，在双方共同努力下，两国战略互信不断深化，务实合作持续推进，在国际场合密切协作，不仅促进了各自发展，也有力维护了广大发展中国家的共同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当前，世界正面临百年未有之大变局，中巴作为发展中大国和重要新兴市场国家，有着广泛共同战略利益，两国关系远远超越双边范畴，对推动发展中国家团结合作以及世界和平稳定具有示范意义。双方要把握两国关系的战略性，增强两国关系的互利性，彰显两国关系的全面性，不断密切战略协作，赋予中巴友好新的时代内涵。中方愿同巴方继续秉持敢为人先的首创精神，用更具前瞻性的眼光就双边关系作好战略规划，明确构建中巴命运共同体的长远目标，充分发挥中国－巴西高层协调与合作委员会的作用，巩固传统领域合作，拓展绿色经济、数字经济、创新等新兴领域合作，加强共建“一带一路”倡议同巴西“再工业化”、“南美一体化路线”等发展战略对接。以庆祝建交50周年为契机，全面加强立法机构、政党、地方、文化、教育、旅游、青年等各领域交流合作，为中巴合作汇聚更多友好力量，提供更多有力支撑。中方支持巴西在国际舞台上发挥更大作用，支持巴西办好今年二十国集团领导人峰会，愿同包括巴西在内的拉共体各方密切沟通，推动新时代中拉关系进一步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阿尔克明转达卢拉总统对习近平的亲切问候，表示，昨天我同韩正副主席成功主持召开巴西－中国高层协调与合作委员会第七次会议，取得积极成果。近年来数亿中国人民摆脱贫困，堪称世界奇迹，有关经验对巴西具有重要借鉴意义。巴西政府致力于实现包容、可持续增长，愿同中方加强发展战略对接，欢迎更多中国企业赴巴西投资，加强基础设施建设、农业、矿产、新能源汽车以及应对气候变化等领域合作。巴中都致力于捍卫多边主义和自由贸易，在许多重要问题上理念相同，合作潜力巨大，前景广阔。巴方愿以两国建交50周年为新起点，同中方共同努力，密切双多边战略协作，将两国关系提升至新的高度，为建设更加和平、公正、可持续的世界作出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王毅参加会见。</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习近平会见巴基斯坦总理夏巴兹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新华社北京6月7日电（记者孙奕）6月7日下午，国家主席习近平在北京人民大会堂会见来华正式访问的巴基斯坦总理夏巴兹。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中国和巴基斯坦是山水相连的好邻居、信义相交的好朋友，更是守望相助的好伙伴、患难与共的好兄弟。中巴全天候战略合作伙伴关系不断深化，拥有坚实的民意基础、强大的内生动力、广阔的发展前景。中方愿同巴方坚定相互支持，拉紧合作纽带，深化战略协调，加快构建新时代更加紧密的中巴命运共同体，为地区和平、稳定、发展、繁荣作出更大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中巴铁杆友谊历久弥坚，关键在于双方始终相互理解、高度信任、坚定支持。感谢巴方在涉及中国核心利益和重大关切问题上长期坚定支持中国。中方也将一如既往坚定支持巴方捍卫国家主权和领土完整，支持巴方走符合本国国情的发展道路，支持巴方坚定打击恐怖主义。中方愿推动高质量共建“一带一路”同巴方发展规划对接，因地制宜开展农业、矿业、社会民生等领域合作，以打造中巴经济走廊“升级版”为中心，共建增长、民生、创新、绿色、开放“五大走廊”，推动高质量共建中巴经济走廊走深走实，助力巴基斯坦经济社会发展。希望巴方持续创造安全、稳定、可预期的营商环境，切实保障在巴中方人员、项目、机构安全。中方愿同巴方加强在联合国、上海合作组织等多边机制内的协调配合，共同推动平等有序的世界多极化和普惠包容的经济全球化，聚焦发展议程，应对安全挑战，完善全球治理，维护发展中国家共同利益和国际公平正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夏巴兹表示，在习近平主席英明领导下，中国在脱贫、反腐和发展方面取得世界瞩目的伟大成就。习近平主席的远见卓识和杰出领导力，得到巴基斯坦人民和世界各国人民的由衷敬佩和高度评价。习近平主席着眼全人类福祉，积极促进世界和平，主张对话而不对抗，提出的共建“一带一路”和全球发展倡议、全球安全倡议、全球文明倡议，为解决当今世界面临的问题，推动建设更加和平、美好的世界提供了战略引领，巴方高度赞赏并全力支持。中巴经济走廊有力促进了巴基斯坦国家发展，实实在在地造福了巴基斯坦人民。巴方将学习借鉴中国的治国理政经验，同中方持续高质量共建“一带一路”，深化各领域务实合作。巴政府再次对今年3月达苏恐袭事件造成中方人员遇难表示深切哀悼，将坚决打击并严惩涉案恐怖分子，采取切实有效措施，确保在巴中方人员、机构的安全。我愿重申，没有任何势力能够阻挡中国发展壮大，没有任何势力能够动摇巴中铁杆友谊。巴方将坚定不移做中国最可信赖的朋友和伙伴。一个中国原则是巴政府坚定不移的承诺，台湾是中国领土不可分割的一部分。巴方将继续毫不迟疑地坚定支持中国在涉台、涉藏、涉疆、南海等所有核心利益问题上的立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王毅、张又侠参加会见。</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16DA1BAB"/>
    <w:rsid w:val="02840809"/>
    <w:rsid w:val="0F851480"/>
    <w:rsid w:val="16DA1BAB"/>
    <w:rsid w:val="196A0064"/>
    <w:rsid w:val="2D8606D5"/>
    <w:rsid w:val="300D70B8"/>
    <w:rsid w:val="3BE80957"/>
    <w:rsid w:val="3C8A7134"/>
    <w:rsid w:val="42664FBD"/>
    <w:rsid w:val="451675DA"/>
    <w:rsid w:val="51D57A6A"/>
    <w:rsid w:val="51E90E1F"/>
    <w:rsid w:val="579D2DD8"/>
    <w:rsid w:val="5A307F33"/>
    <w:rsid w:val="64F7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8402</Words>
  <Characters>8471</Characters>
  <Lines>0</Lines>
  <Paragraphs>0</Paragraphs>
  <TotalTime>92</TotalTime>
  <ScaleCrop>false</ScaleCrop>
  <LinksUpToDate>false</LinksUpToDate>
  <CharactersWithSpaces>8592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2024-05-27T03:19:00Z</dcterms:created>
  <dc:creator>林小丽</dc:creator>
  <cp:lastModifiedBy>林小丽</cp:lastModifiedBy>
  <dcterms:modified xsi:type="dcterms:W3CDTF">2024-06-11T02:28:36Z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9F9256AFB0BC47A8BBCFF65E066E5E6F_11</vt:lpwstr>
  </property>
</Properties>
</file>