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ind w:firstLine="0" w:firstLineChars="0"/>
        <w:jc w:val="center"/>
        <w:rPr>
          <w:rFonts w:hint="eastAsia" w:ascii="Times New Roman" w:hAnsi="Times New Roman" w:eastAsia="华文行楷" w:cs="Times New Roman"/>
          <w:color w:val="FF0000"/>
          <w:spacing w:val="-140"/>
          <w:sz w:val="110"/>
          <w:szCs w:val="110"/>
          <w:lang w:eastAsia="zh-CN"/>
        </w:rPr>
      </w:pPr>
      <w:r>
        <w:rPr>
          <w:rFonts w:hint="eastAsia" w:ascii="Times New Roman" w:hAnsi="Times New Roman" w:eastAsia="华文行楷" w:cs="Times New Roman"/>
          <w:color w:val="FF0000"/>
          <w:spacing w:val="-60"/>
          <w:sz w:val="110"/>
          <w:szCs w:val="110"/>
          <w:lang w:val="en-US" w:eastAsia="zh-CN"/>
        </w:rPr>
        <w:t>政治</w:t>
      </w:r>
      <w:r>
        <w:rPr>
          <w:rFonts w:ascii="Times New Roman" w:hAnsi="Times New Roman" w:eastAsia="华文行楷" w:cs="Times New Roman"/>
          <w:color w:val="FF0000"/>
          <w:spacing w:val="-60"/>
          <w:sz w:val="110"/>
          <w:szCs w:val="110"/>
        </w:rPr>
        <w:t>理论学习</w:t>
      </w:r>
      <w:r>
        <w:rPr>
          <w:rFonts w:hint="eastAsia" w:ascii="Times New Roman" w:hAnsi="Times New Roman" w:eastAsia="华文行楷" w:cs="Times New Roman"/>
          <w:color w:val="FF0000"/>
          <w:spacing w:val="-60"/>
          <w:sz w:val="110"/>
          <w:szCs w:val="110"/>
          <w:lang w:val="en-US" w:eastAsia="zh-CN"/>
        </w:rPr>
        <w:t>资料</w:t>
      </w:r>
    </w:p>
    <w:p>
      <w:pPr>
        <w:spacing w:after="192" w:afterLines="50" w:line="500" w:lineRule="exact"/>
        <w:ind w:left="0" w:leftChars="0" w:firstLine="0" w:firstLineChars="0"/>
        <w:jc w:val="center"/>
        <w:rPr>
          <w:rFonts w:hint="eastAsia" w:ascii="Times New Roman" w:hAnsi="Times New Roman" w:eastAsia="楷体_GB2312" w:cs="Times New Roman"/>
          <w:sz w:val="30"/>
          <w:szCs w:val="30"/>
          <w:lang w:val="en-US" w:eastAsia="zh-CN"/>
        </w:rPr>
      </w:pPr>
      <w:r>
        <w:rPr>
          <w:rFonts w:hint="eastAsia" w:ascii="Times New Roman" w:hAnsi="Times New Roman" w:eastAsia="楷体_GB2312" w:cs="Times New Roman"/>
          <w:sz w:val="30"/>
          <w:szCs w:val="30"/>
          <w:lang w:val="en-US" w:eastAsia="zh-CN"/>
        </w:rPr>
        <w:t>2024年第23期（6月3日-9日）</w:t>
      </w:r>
    </w:p>
    <w:p>
      <w:pPr>
        <w:spacing w:after="192" w:afterLines="50" w:line="500" w:lineRule="exact"/>
        <w:ind w:left="0" w:leftChars="0" w:firstLine="0" w:firstLineChars="0"/>
        <w:jc w:val="left"/>
        <w:rPr>
          <w:rFonts w:ascii="Times New Roman" w:hAnsi="Times New Roman" w:eastAsia="楷体_GB2312" w:cs="Times New Roman"/>
          <w:sz w:val="30"/>
          <w:szCs w:val="30"/>
        </w:rPr>
      </w:pPr>
      <w:r>
        <w:rPr>
          <w:rFonts w:hint="eastAsia" w:ascii="Times New Roman" w:hAnsi="Times New Roman" w:eastAsia="楷体_GB2312" w:cs="Times New Roman"/>
          <w:sz w:val="30"/>
          <w:szCs w:val="30"/>
          <w:lang w:val="en-US" w:eastAsia="zh-CN"/>
        </w:rPr>
        <w:t xml:space="preserve">党委宣传部编印  </w:t>
      </w:r>
      <w:r>
        <w:rPr>
          <w:rFonts w:hint="eastAsia" w:ascii="仿宋_GB2312" w:hAnsi="仿宋_GB2312" w:eastAsia="仿宋_GB2312" w:cs="仿宋_GB2312"/>
          <w:sz w:val="32"/>
          <w:szCs w:val="32"/>
        </w:rPr>
        <w:t xml:space="preserve">  </w:t>
      </w:r>
      <w:r>
        <w:rPr>
          <w:rFonts w:ascii="Times New Roman" w:hAnsi="Times New Roman" w:eastAsia="楷体_GB2312" w:cs="Times New Roman"/>
          <w:sz w:val="30"/>
          <w:szCs w:val="30"/>
        </w:rPr>
        <w:t xml:space="preserve">                      </w:t>
      </w:r>
      <w:r>
        <w:rPr>
          <w:rFonts w:hint="eastAsia" w:ascii="Times New Roman" w:hAnsi="Times New Roman" w:eastAsia="楷体_GB2312" w:cs="Times New Roman"/>
          <w:sz w:val="30"/>
          <w:szCs w:val="30"/>
          <w:lang w:val="en-US" w:eastAsia="zh-CN"/>
        </w:rPr>
        <w:t>2024年6月3日</w:t>
      </w:r>
      <w:r>
        <w:rPr>
          <w:rFonts w:ascii="Times New Roman" w:hAnsi="Times New Roman" w:eastAsia="楷体_GB2312" w:cs="Times New Roman"/>
          <w:sz w:val="30"/>
          <w:szCs w:val="30"/>
        </w:rPr>
        <w:t xml:space="preserve">  </w:t>
      </w:r>
    </w:p>
    <w:p>
      <w:pPr>
        <w:ind w:firstLine="560"/>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17780</wp:posOffset>
                </wp:positionV>
                <wp:extent cx="5715000" cy="30480"/>
                <wp:effectExtent l="0" t="19050" r="0" b="2667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5715000" cy="30480"/>
                        </a:xfrm>
                        <a:prstGeom prst="line">
                          <a:avLst/>
                        </a:prstGeom>
                        <a:noFill/>
                        <a:ln w="38100" cmpd="sng">
                          <a:solidFill>
                            <a:srgbClr val="FF0000"/>
                          </a:solidFill>
                          <a:round/>
                        </a:ln>
                      </wps:spPr>
                      <wps:bodyPr/>
                    </wps:wsp>
                  </a:graphicData>
                </a:graphic>
              </wp:anchor>
            </w:drawing>
          </mc:Choice>
          <mc:Fallback>
            <w:pict>
              <v:line id="_x0000_s1026" o:spid="_x0000_s1026" o:spt="20" style="position:absolute;left:0pt;flip:y;margin-left:-9.75pt;margin-top:1.4pt;height:2.4pt;width:450pt;z-index:251659264;mso-width-relative:page;mso-height-relative:page;" filled="f" stroked="t" coordsize="21600,21600" o:gfxdata="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5ekVl1wAAAAcBAAAPAAAAAAAAAAEAIAAAACIAAABkcnMvZG93bnJldi54bWxQSwEC&#10;FAAUAAAACACHTuJAEHwz9PUBAADEAwAADgAAAAAAAAABACAAAAAmAQAAZHJzL2Uyb0RvYy54bWxQ&#10;SwUGAAAAAAYABgBZAQAAjQUAAAAA&#10;">
                <v:fill on="f" focussize="0,0"/>
                <v:stroke weight="3pt" color="#FF0000" joinstyle="round"/>
                <v:imagedata o:title=""/>
                <o:lock v:ext="edit" aspectratio="f"/>
              </v:line>
            </w:pict>
          </mc:Fallback>
        </mc:AlternateContent>
      </w:r>
    </w:p>
    <w:p>
      <w:pPr>
        <w:ind w:left="0" w:leftChars="0" w:firstLine="0" w:firstLineChars="0"/>
        <w:jc w:val="center"/>
        <w:rPr>
          <w:rFonts w:hint="eastAsia" w:ascii="仿宋_GB2312" w:hAnsi="仿宋_GB2312" w:eastAsia="仿宋_GB2312" w:cs="仿宋_GB2312"/>
          <w:color w:val="000000"/>
          <w:sz w:val="32"/>
          <w:szCs w:val="32"/>
          <w:lang w:val="en-US" w:eastAsia="zh-CN"/>
        </w:rPr>
      </w:pPr>
      <w:r>
        <w:rPr>
          <w:rFonts w:hint="eastAsia" w:ascii="方正小标宋简体" w:hAnsi="方正小标宋简体" w:eastAsia="方正小标宋简体" w:cs="方正小标宋简体"/>
          <w:color w:val="000000"/>
          <w:sz w:val="44"/>
        </w:rPr>
        <w:t>本期政治理论学习</w:t>
      </w:r>
      <w:r>
        <w:rPr>
          <w:rFonts w:hint="eastAsia" w:ascii="方正小标宋简体" w:hAnsi="方正小标宋简体" w:eastAsia="方正小标宋简体" w:cs="方正小标宋简体"/>
          <w:color w:val="000000"/>
          <w:sz w:val="44"/>
          <w:lang w:val="en-US" w:eastAsia="zh-CN"/>
        </w:rPr>
        <w:t>内容</w:t>
      </w:r>
      <w:r>
        <w:rPr>
          <w:rFonts w:hint="eastAsia" w:ascii="方正小标宋简体" w:hAnsi="方正小标宋简体" w:eastAsia="方正小标宋简体" w:cs="方正小标宋简体"/>
          <w:color w:val="000000"/>
          <w:sz w:val="44"/>
        </w:rPr>
        <w:t>目录</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1.习近平总书记在中共中央政治局第十四次集体学习时的重要讲话精神</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default"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2.习近平总书记对进一步做好“四好农村路”建设作出的重要指示精神</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default"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3.习近平总书记在中阿合作论坛第十届部长级会议开幕式上的主旨讲话（全文）</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default"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4.习近平回信勉励四川省南充市嘉陵区之江小学学生</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5.《求是》杂志发表习近平总书记重要文章《发展新质生产力是推动高质量发展的内在要求和重要着力点》</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1"/>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pPr>
    </w:p>
    <w:p>
      <w:pP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p>
    <w:p>
      <w:pP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p>
    <w:p>
      <w:pP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p>
    <w:p>
      <w:pP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p>
    <w:p>
      <w:pP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p>
    <w:p>
      <w:pPr>
        <w:rPr>
          <w:rFonts w:hint="eastAsia" w:ascii="仿宋_GB2312" w:hAnsi="仿宋_GB2312" w:eastAsia="仿宋_GB2312" w:cs="仿宋_GB2312"/>
          <w:sz w:val="32"/>
          <w:szCs w:val="32"/>
        </w:rPr>
        <w:sectPr>
          <w:pgSz w:w="11906" w:h="16838"/>
          <w:pgMar w:top="1440" w:right="1800" w:bottom="1440" w:left="1800" w:header="851" w:footer="992" w:gutter="0"/>
          <w:pgNumType w:fmt="decimal" w:start="1"/>
          <w:cols w:space="425" w:num="1"/>
          <w:docGrid w:type="lines" w:linePitch="312" w:charSpace="0"/>
        </w:sectPr>
      </w:pP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w w:val="85"/>
          <w:sz w:val="44"/>
          <w:szCs w:val="44"/>
        </w:rPr>
        <w:t>习近平在中共中央政治局第十四次集体学习时强调</w:t>
      </w:r>
      <w:r>
        <w:rPr>
          <w:rFonts w:hint="eastAsia" w:ascii="方正小标宋简体" w:hAnsi="方正小标宋简体" w:eastAsia="方正小标宋简体" w:cs="方正小标宋简体"/>
          <w:w w:val="85"/>
          <w:sz w:val="44"/>
          <w:szCs w:val="44"/>
        </w:rPr>
        <w:br w:type="textWrapping"/>
      </w:r>
      <w:r>
        <w:rPr>
          <w:rFonts w:hint="eastAsia" w:ascii="方正小标宋简体" w:hAnsi="方正小标宋简体" w:eastAsia="方正小标宋简体" w:cs="方正小标宋简体"/>
          <w:sz w:val="44"/>
          <w:szCs w:val="44"/>
        </w:rPr>
        <w:t>促进高质量充分就业</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w w:val="98"/>
          <w:sz w:val="44"/>
          <w:szCs w:val="44"/>
        </w:rPr>
      </w:pPr>
      <w:r>
        <w:rPr>
          <w:rFonts w:hint="eastAsia" w:ascii="方正小标宋简体" w:hAnsi="方正小标宋简体" w:eastAsia="方正小标宋简体" w:cs="方正小标宋简体"/>
          <w:w w:val="98"/>
          <w:sz w:val="44"/>
          <w:szCs w:val="44"/>
        </w:rPr>
        <w:t>不断增强广大劳动者的获得感幸福感安全感</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新华社北京5月28日电　中共中央政治局5月27日下午就促进高质量充分就业进行第十四次集体学习。中共中央总书记习近平在主持学习时强调，促进高质量充分就业，是新时代新征程就业工作的新定位、新使命。要坚持以人民为中心的发展思想，全面贯彻劳动者自主就业、市场调节就业、政府促进就业和鼓励创业的方针，持续促进就业质的有效提升和量的合理增长，不断增强广大劳动者的获得感幸福感安全感，为以中国式现代化全面推进强国建设、民族复兴伟业提供有力支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中国劳动和社会保障科学研究院院长莫荣研究员就这个问题进行讲解，提出工作建议。中央政治局的同志认真听取讲解，并进行了讨论。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在听取讲解和讨论后发表了重要讲话。他指出，就业是最基本的民生，事关人民群众切身利益，事关经济社会健康发展，事关国家长治久安。党的十八大以来，党中央坚持把就业工作摆在治国理政的突出位置，强化就业优先政策，健全就业促进机制，有效应对各种压力挑战，城镇新增就业年均1300万人，为民生改善和经济发展提供了重要支撑。在实践中不断深化对新时代就业工作规律的认识，积累了许多经验。主要包括：坚持把就业作为民生之本；坚持实施就业优先战略；坚持依靠发展促进就业；坚持扩大就业容量和提升就业质量相结合；坚持突出抓好重点群体就业；坚持创业带动就业；坚持营造公平就业环境；坚持构建和谐劳动关系，等等。这些经验十分宝贵，要长期坚持并不断丰富发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强调，要坚定不移贯彻新发展理念，更加自觉地把高质量充分就业作为经济社会发展的优先目标，使高质量发展的过程成为就业提质扩容的过程，提高发展的就业带动力。因地制宜发展新质生产力，改造提升传统产业，培育壮大新兴产业，布局建设未来产业，完善现代化产业体系，努力创造更多高质量就业岗位。支持发展吸纳就业能力强的产业和企业，稳定和扩大就业容量。根据经济社会发展新趋势和人民群众高品质生活新期待，大力发展新业态、新模式，积极挖掘、培育新的职业序列，开发新的就业增长点。强化重大政策、重大项目、重大生产力布局对就业影响的评估，推动财政、货币、投资、消费、产业、区域等政策与就业政策协调联动、同向发力，构建就业友好型发展方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指出，要加快塑造素质优良、总量充裕、结构优化、分布合理的现代化人力资源，解决好人力资源供需不匹配这一结构性就业矛盾。适应新一轮科技革命和产业变革，科学研判人力资源发展趋势，统筹抓好教育、培训和就业，动态调整高等教育专业和资源结构布局，大力发展职业教育，健全终身职业技能培训制度。完善供需对接机制，力求做到人岗相适、用人所长、人尽其才，提升就业质量和稳定性。加强宣传教育，引导全社会牢固树立正确就业观，以择业新观念打开就业新天地。深入分析一些行业出现用工缺口的原因，从破解“有活没人干”入手，解决“有人没活干”的问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强调，要完善重点群体就业支持政策。坚持把高校毕业生等青年群体就业作为重中之重，开发更多有利于发挥所学所长的就业岗位，鼓励青年投身重点领域、重点行业、城乡基层和中小微企业就业创业，拓宽市场化社会化就业渠道。结合推进新型城镇化和乡村全面振兴，坚持外出就业和就地就近就业并重，多措并举促进农民工就业，引导外出人才返乡、城市人才下乡创业。稳定脱贫人口务工规模和务工收入，防止因失业导致规模性返贫。加强对大龄、残疾、较长时间失业等就业困难群体的帮扶，统筹用好公益性岗位，确保零就业家庭动态清零。做好退役军人、妇女等群体就业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指出，要深化就业体制机制改革。完善就业公共服务制度，健全就业公共服务体系。完善创业带动就业保障制度，优化创业服务，提升创业质量。健全统一规范的人力资源市场体系，营造公平就业环境，使人人都有通过辛勤努力实现自身发展的机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强调，要加强劳动者权益保障。健全劳动法律法规，规范新就业形态劳动基准，完善社会保障体系，维护劳动者合法权益。加强灵活就业和新就业形态劳动者权益保障，扩大职业伤害保障试点，及时总结经验、形成制度。加强市场监管和劳动保障监察执法，有效治理就业歧视、欠薪欠保、违法裁员等乱象。</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  习近平最后指出，各级党委和政府要把就业当作民生头等大事来抓，加强组织领导，健全制度机制，增强工作合力。要加快建构中国就业理论体系，有效提升我国在就业领域的国际话语权和影响力。</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w w:val="74"/>
          <w:sz w:val="44"/>
          <w:szCs w:val="44"/>
        </w:rPr>
        <w:t>习近平对进一步做好“四好农村路”建设作出重要指示强调</w:t>
      </w:r>
      <w:r>
        <w:rPr>
          <w:rFonts w:hint="eastAsia" w:ascii="方正小标宋简体" w:hAnsi="方正小标宋简体" w:eastAsia="方正小标宋简体" w:cs="方正小标宋简体"/>
          <w:w w:val="74"/>
          <w:sz w:val="44"/>
          <w:szCs w:val="44"/>
        </w:rPr>
        <w:br w:type="textWrapping"/>
      </w:r>
      <w:r>
        <w:rPr>
          <w:rFonts w:hint="eastAsia" w:ascii="方正小标宋简体" w:hAnsi="方正小标宋简体" w:eastAsia="方正小标宋简体" w:cs="方正小标宋简体"/>
          <w:sz w:val="44"/>
          <w:szCs w:val="44"/>
        </w:rPr>
        <w:t>持续发力久久为功</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推动“四好农村路”高质量发展</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新华社北京5月29日电　中共中央总书记、国家主席、中央军委主席习近平近日对进一步做好“四好农村路”建设作出重要指示指出，近年来，交通运输部等有关部门和各地区认真贯彻落实党中央决策部署，持之以恒、攻坚克难，“四好农村路”建设成效显著，农民群众获得感、幸福感、安全感不断增强，农村公路成为老百姓家门口的致富路、幸福路、连心路、振兴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强调，新时代新征程，要持续发力，久久为功，进一步完善政策法规，提高治理能力，实施好新一轮农村公路提升行动，持续推动“四好农村路”高质量发展，助力宜居宜业和美乡村建设，为促进农民农村共同富裕、推进乡村全面振兴、加快农业农村现代化步伐、推进中国式现代化提供坚强服务保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2024年推动“四好农村路”高质量发展现场会29日在浙江绍兴召开。中共中央政治局委员、国务院副总理何立峰在会上传达了习近平重要指示并讲话。何立峰指出，习近平总书记的重要指示为新时代新征程“四好农村路”高质量发展指明了前进方向、提供了根本遵循。要深入学习领会、贯彻落实习近平总书记重要指示精神，切实增强责任感紧迫感，突出抓好近中期重点工作任务落实，着力提升路网质量，加强管理养护，提高运营水平，确保道路安全。要坚持和加强党的全面领导，以进一步全面深化改革为动力，因地制宜、科学谋划，持续发力、久久为功，不断提高做好“四好农村路”工作的能力和水平。</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  交通运输部、国家发展改革委、财政部、自然资源部、农业农村部、文化和旅游部、浙江省、新疆维吾尔自治区、福建省、贵州省、湖南省、甘肃省有关负责同志作交流发言。</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习近平在中阿合作论坛第十届部长级会议开幕式上的主旨讲话（全文）</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深化合作，继往开来</w:t>
      </w: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推动中阿命运共同体建设跑出加速度</w:t>
      </w:r>
    </w:p>
    <w:p>
      <w:pPr>
        <w:jc w:val="center"/>
        <w:rPr>
          <w:rFonts w:hint="eastAsia" w:ascii="楷体_GB2312" w:hAnsi="楷体_GB2312" w:eastAsia="楷体_GB2312" w:cs="楷体_GB2312"/>
          <w:w w:val="99"/>
          <w:sz w:val="32"/>
          <w:szCs w:val="32"/>
        </w:rPr>
      </w:pPr>
      <w:r>
        <w:rPr>
          <w:rFonts w:hint="eastAsia" w:ascii="楷体_GB2312" w:hAnsi="楷体_GB2312" w:eastAsia="楷体_GB2312" w:cs="楷体_GB2312"/>
          <w:w w:val="99"/>
          <w:sz w:val="32"/>
          <w:szCs w:val="32"/>
          <w:lang w:val="en-US" w:eastAsia="zh-CN"/>
        </w:rPr>
        <w:t>——在中阿合作论坛第十届部长级会议开幕式上的主旨讲话</w:t>
      </w: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（2024年5月30日，北京）</w:t>
      </w: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中华人民共和国主席　习近平</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尊敬的哈马德国王，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尊敬的塞西总统，</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尊敬的赛义德总统，</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尊敬的穆罕默德总统，</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阿盟秘书长盖特先生，各位代表团团长，</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各位嘉宾，各位朋友：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很高兴出席中阿合作论坛部长级会议开幕式。每次同阿拉伯朋友相聚，我都倍感亲切。中国和中国人民同阿拉伯国家和人民的友谊，缘自丝绸古道上的友好往来，缘自争取民族解放时的并肩战斗，缘自国家建设进程中的合作共赢。</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新世纪以来，中阿关系不断迈上新台阶。2022年12月，我赴沙特利雅得出席首届中阿峰会，和阿拉伯同事们一致同意全力构建面向新时代的中阿命运共同体。中方对首届中阿峰会成果落实情况感到满意，愿同阿方发挥好峰会战略引领作用，持续推动中阿关系跨越式发展。在此，我高兴地向大家宣布，中方将于2026年在中国举办第二届中阿峰会，相信这将成为中阿关系又一座里程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各位嘉宾、各位朋友！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当前，世界百年变局正在加速演进，中国和阿拉伯国家都肩负着实现各自民族振兴、加快国家建设的时代使命。构建中阿命运共同体彰显我们开辟中阿关系新纪元、开创美好世界新未来的共同愿望。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中方愿同阿方守望相助，把中阿关系建设成维护世界和平稳定的标杆。面对动荡不安的世界，相互尊重是和睦相处之道，公平正义是持久安全之基。我们愿同阿方一道，尊重联合国宪章宗旨和原则，尊重各国人民自主选择，尊重历史形成的客观现实，探索有利于维护公平正义、实现长治久安的热点问题解决之道。</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中方愿同阿方平等互利，把中阿关系建设成高质量共建“一带一路”的样板。丝路精神薪火相传，引领中阿合作与时俱进，广泛惠及双方人民。面对相互依存的世界，我们愿同阿方持续对接发展战略，不断筑牢油气、贸易、基础设施等合作压舱石，加快培育人工智能、投融资、新能源等新增长点，共走创新、绿色、繁荣之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中方愿同阿方包容互鉴，把中阿关系建设成不同文明和谐共生的典范。面对更加多元的世界，对话多一分、对抗就少一分，包容多一点、隔阂就少一点。和平、真知、诚信、包容是中阿人民共同追求。我们愿同阿方共倡人文交流，弘扬全人类共同价值，书写不同文明互学互鉴的新时代典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中方愿同阿方紧密协作，把中阿关系建设成探索全球治理正确路径的表率。人类命运与共已成必然趋势，但治理赤字、信任赤字、和平赤字、发展赤字不断加重，需要我们秉持共商共建共享原则，不断优化全球治理。我们愿同阿方共同倡导平等有序的世界多极化和普惠包容的经济全球化，打造全球治理南南合作样板。</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各位嘉宾、各位朋友！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首届中阿峰会期间，我提出推进中阿务实合作“八大共同行动”。一年多来，经过双方共同努力，中阿签署共建“一带一路”合作文件实现全覆盖，科技研发、技术转移取得新进展，经贸、能源合作迈上新台阶，标志性的旗舰项目和“小而美”的惠民工程并行推进，粮食安全、绿色创新、卫生健康等领域合作走深走实，人文交流合作平台高质量运转，“八大共同行动”取得重要早期收获。下阶段，中方愿以此为基础，同阿方构建“五大合作格局”，推动中阿命运共同体建设跑出加速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一是更富活力的创新驱动格局。中方将同阿方在生命健康、人工智能、绿色低碳、现代农业、空间信息等领域共建10家联合实验室；愿同阿方加强人工智能领域合作，共同促进人工智能赋能实体经济，推动形成具有广泛共识的全球人工智能治理体系；愿同阿方共建空间碎片联合观测中心、北斗应用合作发展中心，加强载人航天、民用客机等合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二是更具规模的投资金融格局。中方愿同阿方设立产业与投资合作论坛，继续推进中阿银联体扩容，加快实施中东工业化专项贷款、中阿金融合作专项贷款合作项目。中方支持双方金融机构加强合作，欢迎阿拉伯国家在华发行“熊猫债”，欢迎阿方银行机构加入人民币跨境支付清算系统，愿同阿方深化央行数字货币领域交流合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三是更加立体的能源合作格局。中方将同阿方进一步加强油气领域战略合作，对接供应安全和市场安全；愿同阿方联合开展新能源技术研发和装备生产。中方将支持中国能源企业和金融机构在阿拉伯国家参与总装机容量超过300万千瓦的可再生能源项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四是更为平衡的经贸互惠格局。中方将继续积极推动实施30亿元人民币的发展合作项目；愿同阿方加快双边和区域自由贸易协定谈判，推动电子商务合作对话机制建设。中方欢迎阿方积极参加中国国际进口博览会，愿扩大自阿方进口非能源类产品特别是农食产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五是更广维度的人文交流格局。中方愿同阿方设立“全球文明倡议中国－阿拉伯中心”，扩大中阿改革发展研究中心规模影响，加快智库联盟、青年发展论坛、大学联盟、文化和旅游合作研究中心等平台建设。中方将每年邀请阿方200名政党领导人访华，未来5年将同阿方力争实现1000万游客互访。</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各位嘉宾、各位朋友！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中东是一片发展沃土，但这片土地上战火仍在延烧。去年10月以来，巴以冲突剧烈升级，人民遭受沉重苦难。战争不能再无限继续，正义也不能永久缺席，“两国方案”更不能任意动摇。中方坚定支持建立以1967年边界为基础、以东耶路撒冷为首都、享有完全主权的独立的巴勒斯坦国，支持巴勒斯坦成为联合国正式会员国，支持召开更大规模、更具权威、更有实效的国际和会。中方将在前期1亿元人民币紧急人道主义援助的基础上，再提供5亿元人民币援助，支持缓解加沙人道主义危机和战后重建；将向联合国近东巴勒斯坦难民救济和工程处提供300万美元捐款，支持工程处向加沙地区提供紧急人道主义援助。</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阿拉伯谚语说，朋友是生活中的阳光。我们将继续同阿拉伯朋友一道，弘扬中阿友好精神，团结共创未来，让构建中阿命运共同体的大道充满阳光！</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谢谢！</w:t>
      </w:r>
    </w:p>
    <w:p>
      <w:pPr>
        <w:ind w:firstLine="640"/>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w w:val="85"/>
          <w:sz w:val="44"/>
          <w:szCs w:val="44"/>
        </w:rPr>
        <w:t>习近平回信勉励四川省南充市嘉陵区之江小学学生</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坚持德智体美劳全面发展</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w w:val="90"/>
          <w:sz w:val="44"/>
          <w:szCs w:val="44"/>
        </w:rPr>
        <w:t>争做爱党爱国自立自强奋发向上的新时代好少年</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祝全国小朋友们“六一”国际儿童节快乐</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新华社北京5月31日电　在“六一”国际儿童节即将到来之际，中共中央总书记、国家主席、中央军委主席习近平5月30日给四川省南充市嘉陵区之江小学的学生们回信，对他们予以亲切勉励，并祝他们和全国的少年儿童节日快乐。</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习近平在回信中说，看到来信，我回想起20年前为你们学校培土奠基的情景。得知这些年来学校越办越好，同学们勤奋学习、热爱劳动、健康快乐成长，我很欣慰。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习近平强调，少年儿童是祖国的未来。把家乡建设好，把我国全面建成社会主义现代化强国，需要你们这一代人接力奋斗。希望同学们树立远大志向，珍惜美好时光，坚持德智体美劳全面发展，争做爱党爱国、自立自强、奋发向上的新时代好少年，努力成长为堪当强国建设、民族复兴大任的栋梁之材。</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之江小学前身是四川省南充市嘉陵区的一所山区小学，山高路陡，校舍老旧。2004年，学校在浙江省对口帮扶下实施迁建，时任浙江省委书记习近平同年5月为学校培土奠基。2005年9月学校正式投入使用，办学条件显著改善，现有在校小学生287名。近日，之江小学五年级一班全体同学给习总书记写信，汇报学习生活情况，表达感恩之情和争做新时代好少年的决心。</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发展新质生产力是推动高质量发展的</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内在要求和重要着力点</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习近平</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今天进行二十届中央政治局第十一次集体学习，内容是扎实推进高质量发展，目的是结合学习贯彻党的二十大和中央经济工作会议精神，总结新时代高质量发展成就，分析存在的突出矛盾和问题，探讨改进措施，推动高质量发展取得新进展新突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党的十八大以来，我们全面贯彻新发展理念，不断深化对我国经济发展阶段性特征和规律的认识，更加强调发展的高质量，党的十九大报告宣告“我国经济已由高速增长阶段转向高质量发展阶段”，党的二十大报告强调“高质量发展是全面建设社会主义现代化国家的首要任务”。新时代以来，党中央作出一系列重大决策部署，推动高质量发展成为全党全社会的共识和自觉行动，高质量发展成为主旋律。近年来，我国科技创新成果丰硕，创新驱动发展成效日益显现；城乡区域发展协调性、平衡性明显增强；改革开放全面深化，发展动力活力竞相迸发；绿色低碳转型成效显著，发展方式转变步伐加快，高质量发展取得明显成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同时，制约高质量发展因素还大量存在。从外部环境看，世界百年未有之大变局全方位、深层次加速演进。从内在条件看，我国一些领域关键核心技术受制于人的局面尚未根本改变，城乡区域发展和收入分配差距依然较大，掣肘经济社会高质量发展。从工作推进情况看，有的领导干部认识不到位，实际工作中一遇到矛盾和困难又习惯性回到追求粗放扩张、低效发展的老路上；有的领导干部观念陈旧，名曰推动高质量发展、实际上“新瓶装旧酒”；有的领导干部能力不足，面对国内外新环境新挑战，不知如何推动高质量发展，等等。对这些问题，要高度重视，切实解决。我们必须牢记高质量发展是新时代的硬道理，完整、准确、全面贯彻新发展理念，把加快建设现代化经济体系、推进高水平科技自立自强、加快构建新发展格局、统筹推进深层次改革和高水平开放、统筹高质量发展和高水平安全等战略任务落实到位，完善推动高质量发展的考核评价体系，为推动高质量发展打牢基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发展新质生产力是推动高质量发展的内在要求和重要着力点。这里，我重点就此谈一些认识。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去年7月以来，我在四川、黑龙江、浙江、广西等地考察调研时，提出要整合科技创新资源，引领发展战略性新兴产业和未来产业，加快形成新质生产力。12月中旬，在中央经济工作会议上，我又提出要以科技创新推动产业创新，特别是以颠覆性技术和前沿技术催生新产业、新模式、新动能，发展新质生产力。我提出新质生产力这个概念和发展新质生产力这个重大任务，主要考虑是：生产力是人类社会发展的根本动力，也是一切社会变迁和政治变革的终极原因。高质量发展需要新的生产力理论来指导，而新质生产力已经在实践中形成并展示出对高质量发展的强劲推动力、支撑力，需要我们从理论上进行总结、概括，用以指导新的发展实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什么是新质生产力、如何发展新质生产力？我一直在思考，也注意到学术界的一些研究成果。概括地说，新质生产力是创新起主导作用，摆脱传统经济增长方式、生产力发展路径，具有高科技、高效能、高质量特征，符合新发展理念的先进生产力质态。它由技术革命性突破、生产要素创新性配置、产业深度转型升级而催生，以劳动者、劳动资料、劳动对象及其优化组合的跃升为基本内涵，以全要素生产率大幅提升为核心标志，特点是创新，关键在质优，本质是先进生产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新质生产力的显著特点是创新，既包括技术和业态模式层面的创新，也包括管理和制度层面的创新。必须继续做好创新这篇大文章，推动新质生产力加快发展。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一，大力推进科技创新。新质生产力主要由技术革命性突破催生而成。科技创新能够催生新产业、新模式、新动能，是发展新质生产力的核心要素。这就要求我们加强科技创新特别是原创性、颠覆性科技创新，加快实现高水平科技自立自强。要深入实施科教兴国战略、人才强国战略、创新驱动发展战略，坚持“四个面向”，强化国家战略科技力量，有组织推进战略导向的原创性、基础性研究。要聚焦国家战略和经济社会发展现实需要，以关键共性技术、前沿引领技术、现代工程技术、颠覆性技术创新为突破口，充分发挥新型举国体制优势，打好关键核心技术攻坚战，使原创性、颠覆性科技创新成果竞相涌现，培育发展新质生产力的新动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二，以科技创新推动产业创新。科技成果转化为现实生产力，表现形式为催生新产业、推动产业深度转型升级。因此，我们要及时将科技创新成果应用到具体产业和产业链上，改造提升传统产业，培育壮大新兴产业，布局建设未来产业，完善现代化产业体系。要围绕发展新质生产力布局产业链，推动短板产业补链、优势产业延链、传统产业升链、新兴产业建链，提升产业链供应链韧性和安全水平，保证产业体系自主可控、安全可靠。要围绕推进新型工业化和加快建设制造强国、质量强国、网络强国、数字中国等战略任务，科学布局科技创新、产业创新。要大力发展数字经济，促进数字经济和实体经济深度融合，打造具有国际竞争力的数字产业集群。要围绕建设农业强国目标，加大种业、农机等科技创新和创新成果应用，用创新科技推进现代农业发展，保障国家粮食安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三，着力推进发展方式创新。绿色发展是高质量发展的底色，新质生产力本身就是绿色生产力。我们必须加快发展方式绿色转型，助力碳达峰碳中和。要牢固树立和践行绿水青山就是金山银山的理念，坚定不移走生态优先、绿色发展之路。加快绿色科技创新和先进绿色技术推广应用，做强绿色制造业，发展绿色服务业，壮大绿色能源产业，发展绿色低碳产业和供应链，构建绿色低碳循环经济体系。持续优化支持绿色低碳发展的经济政策工具箱，发挥绿色金融的牵引作用，打造高效生态绿色产业集群。同时，在全社会大力倡导绿色健康生活方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四，扎实推进体制机制创新。生产关系必须与生产力发展要求相适应。发展新质生产力，必须进一步全面深化改革，形成与之相适应的新型生产关系。新质生产力既需要政府超前规划引导、科学政策支持，也需要市场机制调节、企业等微观主体不断创新，是政府“有形之手”和市场“无形之手”共同培育和驱动形成的。因此，要深化经济体制、科技体制等改革，着力打通束缚新质生产力发展的堵点卡点，建立高标准市场体系，创新生产要素配置方式，让各类先进优质生产要素向发展新质生产力顺畅流动。同时，要扩大高水平对外开放，为发展新质生产力营造良好国际环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五，深化人才工作机制创新。要按照发展新质生产力要求，畅通教育、科技、人才的良性循环，完善人才培养、引进、使用、合理流动的工作机制。要根据科技发展新趋势，优化高等学校学科设置、人才培养模式，为发展新质生产力、推动高质量发展培养急需人才。要着力培养造就战略科学家、一流科技领军人才和创新团队，着力培养造就卓越工程师、大国工匠，加强劳动者技能培训，不断提高各类人才素质。要健全要素参与收入分配机制，激发劳动、知识、技术、管理、资本和数据等生产要素活力，更好体现知识、技术、人才的市场价值，营造鼓励创新、宽容失败的良好氛围。</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这是习近平总书记2024年1月31日在二十届中央政治局第十一次集体学习时的讲话。</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bookmarkStart w:id="0" w:name="_GoBack"/>
      <w:bookmarkEnd w:id="0"/>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ZTViMTI0M2FmNTlmZjE5NTRkZDZlYTcyOTkxMjQifQ=="/>
  </w:docVars>
  <w:rsids>
    <w:rsidRoot w:val="16DA1BAB"/>
    <w:rsid w:val="02840809"/>
    <w:rsid w:val="0F851480"/>
    <w:rsid w:val="16DA1BAB"/>
    <w:rsid w:val="2D8606D5"/>
    <w:rsid w:val="300D70B8"/>
    <w:rsid w:val="3C8A7134"/>
    <w:rsid w:val="51E90E1F"/>
    <w:rsid w:val="64F73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1125</Words>
  <Characters>1146</Characters>
  <Lines>0</Lines>
  <Paragraphs>0</Paragraphs>
  <TotalTime>29</TotalTime>
  <ScaleCrop>false</ScaleCrop>
  <LinksUpToDate>false</LinksUpToDate>
  <CharactersWithSpaces>1188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2024-05-27T03:19:00Z</dcterms:created>
  <dc:creator>林小丽</dc:creator>
  <cp:lastModifiedBy>林小丽</cp:lastModifiedBy>
  <dcterms:modified xsi:type="dcterms:W3CDTF">2024-05-31T10:44:33Z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9F9256AFB0BC47A8BBCFF65E066E5E6F_11</vt:lpwstr>
  </property>
</Properties>
</file>