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2024年第19期（5月6日-12日）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2024年5月6日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rPr>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习近平寄语新时代青年强调 奋力书写为中国式现代化挺膺担当的青春篇章</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向全国广大青年致以节日祝贺和诚挚问候</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2.习近平复信斯梅戴雷沃钢厂职工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3.习近平在法国媒体发表署名文章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《求是》杂志发表习近平总书记重要文章《组织动员亿万职工积极投身强国建设、民族复兴的伟大事业》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5.浙江省委书记易炼红在平安浙江建设20周年大会上的讲话（摘要）</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bookmarkStart w:id="0" w:name="_GoBack"/>
      <w:bookmarkEnd w:id="0"/>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习近平寄语新时代青年强调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93"/>
          <w:sz w:val="44"/>
          <w:szCs w:val="44"/>
          <w:lang w:eastAsia="zh-CN"/>
        </w:rPr>
      </w:pPr>
      <w:r>
        <w:rPr>
          <w:rFonts w:hint="eastAsia" w:ascii="方正小标宋简体" w:hAnsi="方正小标宋简体" w:eastAsia="方正小标宋简体" w:cs="方正小标宋简体"/>
          <w:w w:val="93"/>
          <w:sz w:val="44"/>
          <w:szCs w:val="44"/>
        </w:rPr>
        <w:t>奋力书写为中国式现代化挺膺担当的青春篇章</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向全国广大青年致以节日祝贺和诚挚问候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新华社北京5月3日电 在五四青年节到来之际，中共中央总书记、国家主席、中央军委主席习近平代表党中央，向全国广大青年致以节日祝贺和诚挚问候。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新时代新征程上，全国各族青年听从党和人民的召唤，在科技创新、乡村振兴、绿色发展、社会服务、卫国戍边等各领域各方面勇当排头兵和生力军，展现出自信自强、刚健有为的精神风貌。党中央对广大青年充分信任、寄予厚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今年是新中国成立75周年，是五四运动105周年。广大青年要继承和发扬五四精神，坚定不移听党话、跟党走，争做有理想、敢担当、能吃苦、肯奋斗的新时代好青年，在推进强国建设、民族复兴伟业中展现青春作为、彰显青春风采、贡献青春力量，奋力书写为中国式现代化挺膺担当的青春篇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各级党组织要坚持党管青年工作原则，加强对青年工作的领导，关心青年成长，支持广大青年建功立业。共青团要肩负起新时代新征程党赋予的使命任务，传承弘扬优良传统，团结凝聚广大青年为党和人民事业不懈奋斗。</w:t>
      </w: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习近平复信斯梅戴雷沃钢厂职工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新华社北京5月1日电　4月29日，国家主席习近平复信河钢集团斯梅戴雷沃钢厂塞尔维亚籍职工，勉励他们为中塞友谊作出新贡献。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2016年我对塞尔维亚进行国事访问期间，到斯梅戴雷沃钢厂同你们面对面交流，深深感受到大家对中塞互利合作的支持和对钢厂美好未来的期盼。从你们的来信中我得知，在双方管理团队和钢厂工人的共同努力下，钢厂面貌焕然一新，为斯梅戴雷沃市的发展提供了有力支撑。我对钢厂在中资企业投资后迅速扭亏为盈、5000多名职工的工作岗位得到保障、数千家庭享受平静幸福生活感到十分高兴。钢厂的发展离不开爱岗敬业、拼搏奋斗的员工，你们用辛勤的劳动使钢厂发展日新月异，为中塞铁杆友谊续写新篇，我为你们“点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斯梅戴雷沃钢厂的良好发展，是中塞高质量共建“一带一路”的生动实践，也是两国互利合作的成功典范。钢厂职工是中塞友好合作的参与者、见证者、贡献者，也是受益者。希望你们继续全心全意做好本职工作，热情投身钢厂运营和发展，为促进塞尔维亚经济社会发展和巩固中塞铁杆友谊作出新的更大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日前，河钢集团斯梅戴雷沃钢厂30名塞籍职工代表致信习近平主席，介绍钢厂发展近况及对当地民生改善的重要贡献，表达对习近平主席亲自关心和促成该项目的感激之情。</w:t>
      </w: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习近平在法国媒体发表署名文章</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新华社巴黎5月5日电 5月5日，在赴巴黎对法国进行国事访问之际，国家主席习近平在法国《费加罗报》发表题为《传承中法建交精神　共促世界和平发展》的署名文章。文章全文如下：</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传承中法建交精神　共促世界和平发展</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应马克龙总统邀请，我很高兴对法国进行第三次国事访问。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在中国人民心中，法兰西有着独特魅力。这片土地曾经诞生众多有世界影响的哲学家、文学家、艺术家，为全人类提供思想启发。150多年前，法国人士曾经参与建设中国福建船政和福建船政学堂，法国最早接受中国公派留法学生；百年前中国青年赴法国负笈求学，其中一些有志青年后来为新中国的建立和发展作出了杰出贡献。法国在西方大国中率先同新中国正式建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  2024年是个有特殊意义的节点。我此时来到法国，带来来自中国的三个信息。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  ——中方愿同法方传承建交精神，推动中法关系承前启后、继往开来。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中法建交60周年。60年前，戴高乐将军从时代的战略眼光出发，决定同新中国建交。在冷战正酣的背景下，作出这一独立自主决定是极为不易的，事实证明也是正确和富有远见的。中法建交架起沟通东西方的桥梁，也推动国际关系朝着对话合作的方向演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60年来，中法关系始终紧跟时代。在中国同西方国家关系中，两国率先建立全面战略伙伴关系，开启机制性战略对话；率先开展航空、核能、第三方市场等合作；率先互设文化中心、互办文化年，为全球文明互鉴发挥引领作用。两国合作促成应对气候变化《巴黎协定》、“昆明－蒙特利尔全球生物多样性框架”，有力推进全球气候议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  历史是最好的老师。当今世界很不安宁，再次面临重重风险。中方愿同法方一道，弘扬建交精神，推动中法全面战略伙伴关系不断发展，为促进世界加强合作作出新的贡献。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  ——中国将扩大高水平开放，同包括法国在内的世界各国深化合作。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新中国成立75周年。75年来，依靠全体中国人民艰苦奋斗，中国从一穷二白发展为世界第二大经济体，数亿农村贫困人口全部脱贫，创造了人类发展史上的奇迹。2023年中国经济增长5.2%，2024年的目标是5%左右，且发展质量更高。中国将继续为全球增长提供动力，为世界各国带来机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发展的一条重要经验，就是毫不动摇坚持对外开放。我们欢迎更多高质量法国农产品、化妆品进入中国市场，满足中国人民日益增长的美好生活需要。我们欢迎包括法国在内的世界各国企业赴华投资兴业，已经全面放开制造业准入，将加快放宽电信、医疗等服务业准入。我们还给予法国等多个国家普通公民15天免签政策，制定了便利外籍人员在华旅游、支付的新举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的对外开放也包括鼓励企业走出去开展合作。当前，法国正在推进基于绿色创新的“再工业化”，中国也在加快发展新质生产力，双方可以深化创新合作，共促绿色发展。一些中国企业已经在法国设立了电池工厂。中国政府支持更多中国企业到法国投资，也希望法方为他们提供公平公正的营商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  ——中方愿同法方加强沟通协作，维护世界和平稳定。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和平共处五项原则发表70周年。70年前，周恩来总理首次完整提出“互相尊重主权和领土完整、互不侵犯、互不干涉内政、平等互利、和平共处”五项原则。70年来，和平共处五项原则被世界各国普遍接受和认可，成为现代国际关系重要准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是和平共处五项原则的忠实实践者。新中国成立70多年来，从未主动挑起过一场战争，从未侵占别国一寸土地。中国也是世界上唯一将坚持走和平发展道路写进宪法的国家，是核大国中唯一承诺不首先使用核武器的国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  近年来，我先后提出全球发展倡议、全球安全倡议、全球文明倡议，为完善全球治理、破解人类发展难题贡献中国方案，已经得到全球100多个国家和国际组织支持。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理解乌克兰危机对欧洲人民造成的冲击。中国既不是乌克兰危机的制造者，也不是当事方、参与方，但我们一直在为推动危机和平解决发挥建设性作用。我相继发出多项呼吁，包括遵守联合国宪章宗旨和原则，尊重各国主权和领土完整，重视各方合理安全关切；强调核武器用不得、核战争打不得。中国向乌克兰提供多批人道主义援助，多次派遣特使赴相关国家斡旋。乌克兰危机持续越久对欧洲和世界损害越大。中方期盼欧洲大陆早日重回和平稳定，愿同包括法国在内的国际社会一道，找到解决危机的合理路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巴以冲突同样牵动人心。解决巴以问题的根本出路在于建立独立的巴勒斯坦国。历史反复证明，巴以局势之所以屡陷动荡，根本原因在于联合国决议没有得到切实执行，“两国方案”基础不断被侵蚀，中东和平进程偏离正轨。中法两国在巴以问题上有很多共识，应该加强合作，为恢复中东和平作出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孔子说，“君子和而不流，强哉矫；中立而不倚，强哉矫”。法国作家罗曼·罗兰说，“放弃独立思考，是一切不幸的核心”。中法作为两个有独立自主精神的大国，在历史长河的每一次相遇都能迸发出巨大能量，影响世界行进方向。站在新的历史交汇点上，让我们携手再出发，推动中法关系取得新的更大成就，造福两国和世界！</w:t>
      </w: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组织动员亿万职工积极投身强国建设、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民族复兴的伟大事业</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党的十八大以来，在党中央坚强领导下，我国工人阶级在党和国家事业发展中发挥了主力军作用，工运事业取得历史性成就，工会工作实现全方位进步。过去5年，广大职工群众与党同心、跟党奋斗，在经济建设、科技创新、脱贫攻坚、乡村振兴、疫情防控、抢险救灾等重大工作中，展现了敢打硬仗、勇挑重担的时代风采。全国总工会和各级工会加强职工思想政治引领，推进产业工人队伍建设改革，保障劳动者权益，维护劳动领域政治安全，深化工会系统改革，政治性、先进性、群众性不断增强。对工人阶级作出的重大贡献，对工会工作取得的新成绩，党中央是充分肯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关于今后一个时期的工会工作，这次大会作了部署。这里，我再强调几点。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一，坚持党对工会的全面领导。我国工运事业是在党的领导下发展起来的，工会是党领导的工人阶级群众组织。坚持党对工会的全面领导，任何时候、任何情况下都不能动摇、不能偏离。坚持党的领导不是抽象的、空泛的，不能流于形式，必须全面地、有效地贯彻落实到工会工作全过程和各方面。尤其是在新经济组织、新社会组织、新就业群体中建立工会，必须从一开始就旗帜鲜明地强调和坚持党的领导。要坚定维护党中央权威和集中统一领导，始终在思想上政治上行动上同党中央保持高度一致，确保工会工作的正确方向。要坚持不懈用新时代中国特色社会主义思想凝心铸魂，持续推动理论武装走深走实，不断增强学习践行党的创新理论的思想自觉和行动自觉。要牢记“国之大者”，找准工会工作与党的中心任务的结合点、切入点、着力点，推动党中央决策部署在工会系统落实落地，更好发挥工会职能作用。要加强思想政治引领，做好职工思想政治工作，教育引导广大职工坚定不移听党话、跟党走，确保工人阶级始终是我们党最坚实最可靠的阶级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组织动员亿万职工奋进新征程、建功新时代。工会工作讲起来有千条万条，最根本的一条是把广大职工群众紧密团结在党的周围，为实现党的中心任务而团结奋斗。要坚持全心全意依靠工人阶级的根本方针，充分调动广大职工群众的积极性、主动性、创造性，积极投身全面推进强国建设、民族复兴的伟大事业。要围绕贯彻新发展理念、构建新发展格局、推动高质量发展，广泛深入开展各种形式的劳动和技能竞赛，激发广大职工的劳动热情、创造潜能，在各行各业各个领域充分发挥主力军作用。要大力弘扬劳模精神、劳动精神、工匠精神，发挥好劳模工匠示范引领作用，激励广大职工在辛勤劳动、诚实劳动、创造性劳动中成就梦想。要围绕深入实施科教兴国战略、人才强国战略、创新驱动发展战略，深化产业工人队伍建设改革，加快建设一支知识型、技能型、创新型产业工人大军，培养造就更多大国工匠和高技能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用心用情做好维权服务工作。中国式现代化是全体人民共同富裕的现代化。工人阶级和广大劳动群众是社会财富的主要创造者，推动全体人民共同富裕取得更为明显的实质性进展，首先要体现在亿万劳动者身上。工会作为职工利益的代表者和维护者，要认真履行维权服务基本职责，着力解决关系职工群众切身利益的实际问题，尤其要重视维护好新就业形态劳动者的合法权益。要加强企事业单位民主管理，畅通职工诉求表达渠道，引导职工依法理性有序表达利益诉求、维护自身权益，推动构建和谐劳动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工会是职工之家，工会干部是职工的“娘家人”。要继续深化工会改革和建设，牢固树立大抓基层的鲜明导向，夯实基层基础，激发基层活力，不断增强基层工会的引领力、组织力、服务力。要健全已有的组织基础，持续推进新经济组织、新社会组织、新就业群体建会入会工作，扩大工会组织覆盖面。要创新工作方式，努力为职工群众提供精准、贴心的服务。工会干部要践行党的群众路线，深入调查研究，及时了解职工所思所想所盼，不断增强服务职工本领，真心实意为职工说话办事。全国总工会作为各级工会的领导机关，要带头加强自身建设，当标杆、作表率，成为让党放心、让人民满意的模范政治机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级党委（党组）要加强对工会和工会工作的领导，选好配强工会领导班子，热情关心和严格要求工会干部，重视培养和使用工会干部。要注重发挥工会组织作用，及时研究职工群众和工会工作遇到的重要问题，支持工会创造性开展工作。各级政府要发挥好政府和工会联席会议作用，积极帮助工会解决职工群众的实际困难和问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这是习近平总书记2023年10月23日在同全国总工会新一届领导班子成员集体谈话时讲话的主要部分。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浙江省委书记易炼红在平安浙江建设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20周年大会上的讲话（摘要）</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在持续推动“八八战略”走深走实中</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书写平安中国建设浙江新篇章</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中共浙江省委书记    易炼红</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2004年5月，时任浙江省委书记习近平同志主持召开省委十一届六次全会，高瞻远瞩、审时度势地作出建设平安浙江的重大决策部署，开启了平安中国建设省域先行探索实践之路。平安浙江建设20年的不凡历程值得铭记、令人鼓舞，高水平建设平安中国示范区的光荣使命重任在肩、催人奋进。我们要深入学习贯彻习近平新时代中国特色社会主义思想特别是习近平法治思想和习近平总书记关于平安建设重要论述、考察浙江重要讲话精神，以平安浙江建设20年为新起点，感恩奋进再出发、实干争先走前列，在持续推动“八八战略”走深走实中书写平安中国建设浙江新篇章、作出服务全国大局浙江新贡献。</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20年来我们牢记嘱托、接力前行，在推进平安浙江建设中不断打开高质量发展和高水平安全良性互动新局面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安浙江建设是习近平同志在浙江工作期间，着眼于深入实施“八八战略”、加快破解“成长的烦恼”，亲自开篇点题、亲自谋划推动的重大决策部署。习近平同志当年鲜明提出了建设平安浙江的“五个更加”的总体目标，明确了“六个确保”的具体目标，率先构建起了涵盖经济、政治、文化、社会和生态各方面的宽领域、大范围、多层面的大平安格局。20年来，我们坚持一张蓝图绘到底、一任接着一任干，推动浙江成为社会活力最强、社会秩序最优、安全感最高的省份之一。</w:t>
      </w:r>
      <w:r>
        <w:rPr>
          <w:rFonts w:hint="eastAsia" w:ascii="仿宋_GB2312" w:hAnsi="仿宋_GB2312" w:eastAsia="仿宋_GB2312" w:cs="仿宋_GB2312"/>
          <w:b/>
          <w:bCs/>
          <w:sz w:val="32"/>
          <w:szCs w:val="32"/>
          <w:lang w:val="en-US" w:eastAsia="zh-CN"/>
        </w:rPr>
        <w:t>20年来，我们深刻把握平安浙江建设的政治原则性，奋力做到站岗放哨、守土尽责。</w:t>
      </w:r>
      <w:r>
        <w:rPr>
          <w:rFonts w:hint="eastAsia" w:ascii="仿宋_GB2312" w:hAnsi="仿宋_GB2312" w:eastAsia="仿宋_GB2312" w:cs="仿宋_GB2312"/>
          <w:sz w:val="32"/>
          <w:szCs w:val="32"/>
          <w:lang w:val="en-US" w:eastAsia="zh-CN"/>
        </w:rPr>
        <w:t>把建设平安浙江作为“一把手”工程，深化维护政治安全体系和能力建设，持续把党的领导力引领力转化为安全维护力塑造力，高质量完成了G20杭州峰会、杭州亚（残）运会等重大维稳安保任务。</w:t>
      </w:r>
      <w:r>
        <w:rPr>
          <w:rFonts w:hint="eastAsia" w:ascii="仿宋_GB2312" w:hAnsi="仿宋_GB2312" w:eastAsia="仿宋_GB2312" w:cs="仿宋_GB2312"/>
          <w:b/>
          <w:bCs/>
          <w:sz w:val="32"/>
          <w:szCs w:val="32"/>
          <w:lang w:val="en-US" w:eastAsia="zh-CN"/>
        </w:rPr>
        <w:t>20年来，我们深刻把握平安浙江建设的战略支撑性，奋力做到稳中求进、护航发展。</w:t>
      </w:r>
      <w:r>
        <w:rPr>
          <w:rFonts w:hint="eastAsia" w:ascii="仿宋_GB2312" w:hAnsi="仿宋_GB2312" w:eastAsia="仿宋_GB2312" w:cs="仿宋_GB2312"/>
          <w:sz w:val="32"/>
          <w:szCs w:val="32"/>
          <w:lang w:val="en-US" w:eastAsia="zh-CN"/>
        </w:rPr>
        <w:t>坚持稳中求进工作总基调，一手抓“经济报表”、一手抓“平安报表”，推动发展与稳定并重、富民与安民共进，深入开展风险隐患大排查大起底大整治行动，发展与安全统筹兼顾、同步推进的态势持续巩固。</w:t>
      </w:r>
      <w:r>
        <w:rPr>
          <w:rFonts w:hint="eastAsia" w:ascii="仿宋_GB2312" w:hAnsi="仿宋_GB2312" w:eastAsia="仿宋_GB2312" w:cs="仿宋_GB2312"/>
          <w:b/>
          <w:bCs/>
          <w:sz w:val="32"/>
          <w:szCs w:val="32"/>
          <w:lang w:val="en-US" w:eastAsia="zh-CN"/>
        </w:rPr>
        <w:t>20年来，我们深刻把握平安浙江建设的价值引领性，奋力做到民呼我为、造福群众。</w:t>
      </w:r>
      <w:r>
        <w:rPr>
          <w:rFonts w:hint="eastAsia" w:ascii="仿宋_GB2312" w:hAnsi="仿宋_GB2312" w:eastAsia="仿宋_GB2312" w:cs="仿宋_GB2312"/>
          <w:sz w:val="32"/>
          <w:szCs w:val="32"/>
          <w:lang w:val="en-US" w:eastAsia="zh-CN"/>
        </w:rPr>
        <w:t>自觉践行以人民为中心的发展思想，健全民呼我为工作机制，常态化开展扫黑除恶斗争，防范打击新型网络犯罪及“黄赌毒”“盗抢骗”“食药环”等违法犯罪，做到“什么问题突出就有针对性地解决什么问题”。</w:t>
      </w:r>
      <w:r>
        <w:rPr>
          <w:rFonts w:hint="eastAsia" w:ascii="仿宋_GB2312" w:hAnsi="仿宋_GB2312" w:eastAsia="仿宋_GB2312" w:cs="仿宋_GB2312"/>
          <w:b/>
          <w:bCs/>
          <w:sz w:val="32"/>
          <w:szCs w:val="32"/>
          <w:lang w:val="en-US" w:eastAsia="zh-CN"/>
        </w:rPr>
        <w:t>20年来，我们深刻把握平安浙江建设的基层导向性，奋力做到夯基固本、抓源化小。</w:t>
      </w:r>
      <w:r>
        <w:rPr>
          <w:rFonts w:hint="eastAsia" w:ascii="仿宋_GB2312" w:hAnsi="仿宋_GB2312" w:eastAsia="仿宋_GB2312" w:cs="仿宋_GB2312"/>
          <w:sz w:val="32"/>
          <w:szCs w:val="32"/>
          <w:lang w:val="en-US" w:eastAsia="zh-CN"/>
        </w:rPr>
        <w:t>把坚持和发展新时代“枫桥经验”作为总抓手，深化干部下基层开展信访工作，迭代升级“141”基层社会治理体系，完善自治、法治、德治、智治相结合的城乡基层治理模式，健全完善正确处理新形势下人民内部矛盾有效机制。</w:t>
      </w:r>
      <w:r>
        <w:rPr>
          <w:rFonts w:hint="eastAsia" w:ascii="仿宋_GB2312" w:hAnsi="仿宋_GB2312" w:eastAsia="仿宋_GB2312" w:cs="仿宋_GB2312"/>
          <w:b/>
          <w:bCs/>
          <w:sz w:val="32"/>
          <w:szCs w:val="32"/>
          <w:lang w:val="en-US" w:eastAsia="zh-CN"/>
        </w:rPr>
        <w:t>20年来，我们深刻把握平安浙江建设的协同联动性，奋力做到优化环境、再造优势。</w:t>
      </w:r>
      <w:r>
        <w:rPr>
          <w:rFonts w:hint="eastAsia" w:ascii="仿宋_GB2312" w:hAnsi="仿宋_GB2312" w:eastAsia="仿宋_GB2312" w:cs="仿宋_GB2312"/>
          <w:sz w:val="32"/>
          <w:szCs w:val="32"/>
          <w:lang w:val="en-US" w:eastAsia="zh-CN"/>
        </w:rPr>
        <w:t>一体推进平安浙江法治浙江建设，扎实推进“大综合一体化”行政执法改革、信访工作法治化改革，特别是以政务服务增值化改革为牵引，颁布施行《浙江省平安建设条例》等系列法规文件，推动形成办事依法、遇事找法、解决问题用法、化解矛盾靠法的良好法治环境。</w:t>
      </w:r>
      <w:r>
        <w:rPr>
          <w:rFonts w:hint="eastAsia" w:ascii="仿宋_GB2312" w:hAnsi="仿宋_GB2312" w:eastAsia="仿宋_GB2312" w:cs="仿宋_GB2312"/>
          <w:b/>
          <w:bCs/>
          <w:sz w:val="32"/>
          <w:szCs w:val="32"/>
          <w:lang w:val="en-US" w:eastAsia="zh-CN"/>
        </w:rPr>
        <w:t>20年来，我们深刻把握平安浙江建设的创新变革性，奋力做到识变迎新、求变兴新。</w:t>
      </w:r>
      <w:r>
        <w:rPr>
          <w:rFonts w:hint="eastAsia" w:ascii="仿宋_GB2312" w:hAnsi="仿宋_GB2312" w:eastAsia="仿宋_GB2312" w:cs="仿宋_GB2312"/>
          <w:sz w:val="32"/>
          <w:szCs w:val="32"/>
          <w:lang w:val="en-US" w:eastAsia="zh-CN"/>
        </w:rPr>
        <w:t>推动数字浙江建设与平安浙江建设赋能贯通，以数字化手段推动平安工作制度重构、流程再造、系统重塑，大力实施政法数字化协同工程，全方位提升了多跨协同、除险保安的智慧决策水平、高效防控水平、现代治理水平。</w:t>
      </w:r>
      <w:r>
        <w:rPr>
          <w:rFonts w:hint="eastAsia" w:ascii="仿宋_GB2312" w:hAnsi="仿宋_GB2312" w:eastAsia="仿宋_GB2312" w:cs="仿宋_GB2312"/>
          <w:b/>
          <w:bCs/>
          <w:sz w:val="32"/>
          <w:szCs w:val="32"/>
          <w:lang w:val="en-US" w:eastAsia="zh-CN"/>
        </w:rPr>
        <w:t>20年来，我们深刻把握平安浙江建设的文化浸润性，奋力做到以和为贵、以文养德。</w:t>
      </w:r>
      <w:r>
        <w:rPr>
          <w:rFonts w:hint="eastAsia" w:ascii="仿宋_GB2312" w:hAnsi="仿宋_GB2312" w:eastAsia="仿宋_GB2312" w:cs="仿宋_GB2312"/>
          <w:sz w:val="32"/>
          <w:szCs w:val="32"/>
          <w:lang w:val="en-US" w:eastAsia="zh-CN"/>
        </w:rPr>
        <w:t>大力弘扬伟大建党精神包括红船精神，以及浙江精神，持续挖掘、传承和发扬优秀传统文化的平安要义和治理智慧，充分发挥和合文化等对平安浙江建设、构建和谐社会的积极作用，不断孕育出更具文化特色、文明风尚的治理新载体、新品牌。</w:t>
      </w:r>
      <w:r>
        <w:rPr>
          <w:rFonts w:hint="eastAsia" w:ascii="仿宋_GB2312" w:hAnsi="仿宋_GB2312" w:eastAsia="仿宋_GB2312" w:cs="仿宋_GB2312"/>
          <w:b/>
          <w:bCs/>
          <w:sz w:val="32"/>
          <w:szCs w:val="32"/>
          <w:lang w:val="en-US" w:eastAsia="zh-CN"/>
        </w:rPr>
        <w:t>20年来，我们深刻把握平安浙江建设的斗争主动性，奋力做到能打必胜、善作必成。</w:t>
      </w:r>
      <w:r>
        <w:rPr>
          <w:rFonts w:hint="eastAsia" w:ascii="仿宋_GB2312" w:hAnsi="仿宋_GB2312" w:eastAsia="仿宋_GB2312" w:cs="仿宋_GB2312"/>
          <w:sz w:val="32"/>
          <w:szCs w:val="32"/>
          <w:lang w:val="en-US" w:eastAsia="zh-CN"/>
        </w:rPr>
        <w:t>有效防范化解各类风险隐患，加强领导干部斗争历练，牢牢守住了不发生系统性风险的底线。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年平安浙江建设的非凡历程和变革实践，展现出旺盛实践生命力、强大变革重塑力、广泛社会影响力，是“两个确立”决定性意义的有力印证，是“八八战略”指引浙江发生全方位、系统性、深层次精彩蝶变的生动缩影。我们从不凡历程感悟巨大变化，更能深刻感受到平安浙江建设从习近平同志在浙江工作期间开篇点题、立柱架梁，到历届省委坚持深化、丰富拓展，特别是进入新时代以来厚积成势、引领示范的实践历程，从平安浙江到平安中国，从大平安理念到总体国家安全观的跃升进程，集中呈现了习近平新时代中国特色社会主义思想特别是习近平法治思想、习近平总书记关于平安建设重要论述精神在浙江萌发和实践的清晰脉络。我们从丰硕成果循溯根本原因，更能深刻感受到平安浙江建设20年来取得的成就，最根本在于习近平总书记当年确立的好思路、形成的好做法、打下的好基础，在于习近平总书记的领航掌舵和习近平新时代中国特色社会主义思想的科学指引。我们必须始终把“两个确立”作为做好一切工作的信心之本、战胜一切艰难险阻的胜利之源，以旗帜鲜明讲政治的高度自觉纵深推进平安浙江建设，始终做到“总书记有号令、党中央有部署，浙江见行动见实效”。　　</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谋深思路举措、抓实特色载体，以平安浙江建设新成效推动省域治理现代化整体跃升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十八大以来，习近平总书记从发展完善中国特色社会主义制度、推进国家治理体系和治理能力现代化的高度，引领新时代平安中国建设迈向更高水平。去年9月，习近平总书记再次亲临浙江考察，赋予浙江“中国式现代化的先行者”新定位和“谱写中国式现代化浙江新篇章”新使命。在新的起点上，要深刻认识把握平安浙江建设阶段性特征，切实增强打头阵、当先锋、作示范使命担当，牢牢把握先行再跨步的战略机遇期、斗争再聚力的深度承压期、攻坚再破难的塑造变革期、形象再出彩的窗口展示期，充分认识“风险在哪里”“底线是什么”“趋势怎么样”，加快从一时一域静态安全到全域全程动态安全、从可知可感面上安全到舒心放心本质安全、从除险清患维护安全到主动防控塑造安全的转变跃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和今后一个时期推进平安浙江建设，我们必须更加深入学习贯彻习近平新时代中国特色社会主义思想特别是习近平法治思想和习近平总书记关于平安建设重要论述、考察浙江重要讲话精神，始终紧扣“五个更加”总体目标和“六个确保”具体目标，以大平安理念落实总体国家安全观，不断提升平安建设法治化、社会化、专业化、智能化水平，高水平建设平安中国示范区，为浙江在奋进中国式现代化新征程上勇当先行者、谱写新篇章全方位提供安全保障、全链条释放治理活力、全省域优化发展环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一是扎实做好确保政治安全工作，</w:t>
      </w:r>
      <w:r>
        <w:rPr>
          <w:rFonts w:hint="eastAsia" w:ascii="仿宋_GB2312" w:hAnsi="仿宋_GB2312" w:eastAsia="仿宋_GB2312" w:cs="仿宋_GB2312"/>
          <w:sz w:val="32"/>
          <w:szCs w:val="32"/>
          <w:lang w:val="en-US" w:eastAsia="zh-CN"/>
        </w:rPr>
        <w:t>构建更加有力有效的政治安全风险闭环管控机制，持续放大政治安全体系和能力建设工作优势，做到守土有责、守土负责、守土尽责。</w:t>
      </w:r>
      <w:r>
        <w:rPr>
          <w:rFonts w:hint="eastAsia" w:ascii="仿宋_GB2312" w:hAnsi="仿宋_GB2312" w:eastAsia="仿宋_GB2312" w:cs="仿宋_GB2312"/>
          <w:b/>
          <w:bCs/>
          <w:sz w:val="32"/>
          <w:szCs w:val="32"/>
          <w:lang w:val="en-US" w:eastAsia="zh-CN"/>
        </w:rPr>
        <w:t>二是扎实做好矛盾风险治源工作，</w:t>
      </w:r>
      <w:r>
        <w:rPr>
          <w:rFonts w:hint="eastAsia" w:ascii="仿宋_GB2312" w:hAnsi="仿宋_GB2312" w:eastAsia="仿宋_GB2312" w:cs="仿宋_GB2312"/>
          <w:sz w:val="32"/>
          <w:szCs w:val="32"/>
          <w:lang w:val="en-US" w:eastAsia="zh-CN"/>
        </w:rPr>
        <w:t>持续放大新时代“枫桥经验”先发优势，准确把握“群众唱主角、干部来引导、德法加智治、有事当地了”的实践特征，坚持系统治理、依法治理、综合治理、源头治理和专项治理有机结合，真正把矛盾纠纷止于未发、化于初发、解于当地。</w:t>
      </w:r>
      <w:r>
        <w:rPr>
          <w:rFonts w:hint="eastAsia" w:ascii="仿宋_GB2312" w:hAnsi="仿宋_GB2312" w:eastAsia="仿宋_GB2312" w:cs="仿宋_GB2312"/>
          <w:b/>
          <w:bCs/>
          <w:sz w:val="32"/>
          <w:szCs w:val="32"/>
          <w:lang w:val="en-US" w:eastAsia="zh-CN"/>
        </w:rPr>
        <w:t>三是扎实做好公共安全固安工作，</w:t>
      </w:r>
      <w:r>
        <w:rPr>
          <w:rFonts w:hint="eastAsia" w:ascii="仿宋_GB2312" w:hAnsi="仿宋_GB2312" w:eastAsia="仿宋_GB2312" w:cs="仿宋_GB2312"/>
          <w:sz w:val="32"/>
          <w:szCs w:val="32"/>
          <w:lang w:val="en-US" w:eastAsia="zh-CN"/>
        </w:rPr>
        <w:t>深入推进突出问题专项整治，大力开展安全生产治本攻坚，加快健全综合治网管理体系，突出抓好重点领域风险排查整治专项行动，完善网络空间行为准则与治理规则，推动网络生态更健康、网络空间更有序。</w:t>
      </w:r>
      <w:r>
        <w:rPr>
          <w:rFonts w:hint="eastAsia" w:ascii="仿宋_GB2312" w:hAnsi="仿宋_GB2312" w:eastAsia="仿宋_GB2312" w:cs="仿宋_GB2312"/>
          <w:b/>
          <w:bCs/>
          <w:sz w:val="32"/>
          <w:szCs w:val="32"/>
          <w:lang w:val="en-US" w:eastAsia="zh-CN"/>
        </w:rPr>
        <w:t>四是扎实做好社会治理强基工作，</w:t>
      </w:r>
      <w:r>
        <w:rPr>
          <w:rFonts w:hint="eastAsia" w:ascii="仿宋_GB2312" w:hAnsi="仿宋_GB2312" w:eastAsia="仿宋_GB2312" w:cs="仿宋_GB2312"/>
          <w:sz w:val="32"/>
          <w:szCs w:val="32"/>
          <w:lang w:val="en-US" w:eastAsia="zh-CN"/>
        </w:rPr>
        <w:t>持续放大“141”基层治理体系优势，在县（市、区）扎实推进社会治理中心规范化建设，在乡镇（街道）做实做强平安法治、公共服务平台功能，在村（社区）全面夯实网格底座，不断激发社会力量参与平安建设热情，积极探索具有浙江特色的新时代基层社会治理之路。</w:t>
      </w:r>
      <w:r>
        <w:rPr>
          <w:rFonts w:hint="eastAsia" w:ascii="仿宋_GB2312" w:hAnsi="仿宋_GB2312" w:eastAsia="仿宋_GB2312" w:cs="仿宋_GB2312"/>
          <w:b/>
          <w:bCs/>
          <w:sz w:val="32"/>
          <w:szCs w:val="32"/>
          <w:lang w:val="en-US" w:eastAsia="zh-CN"/>
        </w:rPr>
        <w:t>五是扎实做好数字科技赋能工作，</w:t>
      </w:r>
      <w:r>
        <w:rPr>
          <w:rFonts w:hint="eastAsia" w:ascii="仿宋_GB2312" w:hAnsi="仿宋_GB2312" w:eastAsia="仿宋_GB2312" w:cs="仿宋_GB2312"/>
          <w:sz w:val="32"/>
          <w:szCs w:val="32"/>
          <w:lang w:val="en-US" w:eastAsia="zh-CN"/>
        </w:rPr>
        <w:t>以加强风险预测预警预防为关键，以守护更高品质生活为重点，全面深化平安建设领域数字化改革、智能化建设，加快推动数字技术与平安建设深度融合，让智能化建设成果更加可见可触、可感可及。</w:t>
      </w:r>
      <w:r>
        <w:rPr>
          <w:rFonts w:hint="eastAsia" w:ascii="仿宋_GB2312" w:hAnsi="仿宋_GB2312" w:eastAsia="仿宋_GB2312" w:cs="仿宋_GB2312"/>
          <w:b/>
          <w:bCs/>
          <w:sz w:val="32"/>
          <w:szCs w:val="32"/>
          <w:lang w:val="en-US" w:eastAsia="zh-CN"/>
        </w:rPr>
        <w:t>六是扎实做好法治保障协同工作，</w:t>
      </w:r>
      <w:r>
        <w:rPr>
          <w:rFonts w:hint="eastAsia" w:ascii="仿宋_GB2312" w:hAnsi="仿宋_GB2312" w:eastAsia="仿宋_GB2312" w:cs="仿宋_GB2312"/>
          <w:sz w:val="32"/>
          <w:szCs w:val="32"/>
          <w:lang w:val="en-US" w:eastAsia="zh-CN"/>
        </w:rPr>
        <w:t>充分发挥法治固根本、稳预期、利长远的保障作用，进一步强化法治思维、系统观念，持续放大平安和法治建设一体推进优势。大力宣传贯彻《浙江省平安建设条例》，深入开展“法助共富、法护平安”专项行动，健全知识产权全链条司法保护机制，营造良好网络营商环境。</w:t>
      </w:r>
      <w:r>
        <w:rPr>
          <w:rFonts w:hint="eastAsia" w:ascii="仿宋_GB2312" w:hAnsi="仿宋_GB2312" w:eastAsia="仿宋_GB2312" w:cs="仿宋_GB2312"/>
          <w:b/>
          <w:bCs/>
          <w:sz w:val="32"/>
          <w:szCs w:val="32"/>
          <w:lang w:val="en-US" w:eastAsia="zh-CN"/>
        </w:rPr>
        <w:t>七是扎实做好平安文化引领工作，</w:t>
      </w:r>
      <w:r>
        <w:rPr>
          <w:rFonts w:hint="eastAsia" w:ascii="仿宋_GB2312" w:hAnsi="仿宋_GB2312" w:eastAsia="仿宋_GB2312" w:cs="仿宋_GB2312"/>
          <w:sz w:val="32"/>
          <w:szCs w:val="32"/>
          <w:lang w:val="en-US" w:eastAsia="zh-CN"/>
        </w:rPr>
        <w:t>持续放大中华优秀传统文化优势，全面推动平安文化进家庭、进村居、进学校、进企业、进工地、进商铺，加强孝贤家庭、和睦邻里、积善群体、信义街市等建设，让平安理念深入人心、成风化俗，不断擦亮具有文化特色的治理品牌。</w:t>
      </w:r>
      <w:r>
        <w:rPr>
          <w:rFonts w:hint="eastAsia" w:ascii="仿宋_GB2312" w:hAnsi="仿宋_GB2312" w:eastAsia="仿宋_GB2312" w:cs="仿宋_GB2312"/>
          <w:b/>
          <w:bCs/>
          <w:sz w:val="32"/>
          <w:szCs w:val="32"/>
          <w:lang w:val="en-US" w:eastAsia="zh-CN"/>
        </w:rPr>
        <w:t>八是扎实做好统筹协调聚力工作，</w:t>
      </w:r>
      <w:r>
        <w:rPr>
          <w:rFonts w:hint="eastAsia" w:ascii="仿宋_GB2312" w:hAnsi="仿宋_GB2312" w:eastAsia="仿宋_GB2312" w:cs="仿宋_GB2312"/>
          <w:sz w:val="32"/>
          <w:szCs w:val="32"/>
          <w:lang w:val="en-US" w:eastAsia="zh-CN"/>
        </w:rPr>
        <w:t>严格落实平安建设领导责任制，持续放大大平安机制优势，突出“一把手抓、抓一把手”，完善党政统一领导、平安办组织协调、成员单位共同参与的联动格局。特别是要认真落实省委全面加强“三支队伍”建设部署要求，创新加强全省平安战线队伍建设，注重在平安稳定一线历练干部、培养干部，以高素质专业化的队伍推动平安工作高质量发展。</w:t>
      </w:r>
    </w:p>
    <w:p>
      <w:pPr>
        <w:rPr>
          <w:rFonts w:hint="eastAsia" w:ascii="仿宋_GB2312" w:hAnsi="仿宋_GB2312" w:eastAsia="仿宋_GB2312" w:cs="仿宋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（摘自易炼红同志2024年4月7日在平安浙江建设20周年大会上的讲话）</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711804EC"/>
    <w:rsid w:val="116A7DD0"/>
    <w:rsid w:val="19A76768"/>
    <w:rsid w:val="1C8F7978"/>
    <w:rsid w:val="1E4447F4"/>
    <w:rsid w:val="20776154"/>
    <w:rsid w:val="219A700D"/>
    <w:rsid w:val="225A027B"/>
    <w:rsid w:val="285A74F6"/>
    <w:rsid w:val="33C94E7C"/>
    <w:rsid w:val="3C59343B"/>
    <w:rsid w:val="41D72DDD"/>
    <w:rsid w:val="456C2C64"/>
    <w:rsid w:val="4B2B69FF"/>
    <w:rsid w:val="4C344283"/>
    <w:rsid w:val="4E0D1BC3"/>
    <w:rsid w:val="55EE2EA8"/>
    <w:rsid w:val="56C705CE"/>
    <w:rsid w:val="595B6AA6"/>
    <w:rsid w:val="5AEF2091"/>
    <w:rsid w:val="5C37628E"/>
    <w:rsid w:val="62C524FB"/>
    <w:rsid w:val="632223E3"/>
    <w:rsid w:val="6E343DAB"/>
    <w:rsid w:val="711804EC"/>
    <w:rsid w:val="75D8760F"/>
    <w:rsid w:val="7B1A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2024-03-28T05:35:00Z</dcterms:created>
  <dc:creator>林小丽</dc:creator>
  <cp:lastModifiedBy>林小丽</cp:lastModifiedBy>
  <dcterms:modified xsi:type="dcterms:W3CDTF">2024-05-06T02:40:52Z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3AB3816841CD4E4CA12AA1BA9FD3BA1B_11</vt:lpwstr>
  </property>
</Properties>
</file>