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Fonts w:hint="eastAsia" w:ascii="Times New Roman" w:hAnsi="Times New Roman" w:eastAsia="华文行楷" w:cs="Times New Roman"/>
          <w:color w:val="FF0000"/>
          <w:spacing w:val="-140"/>
          <w:sz w:val="110"/>
          <w:szCs w:val="110"/>
          <w:lang w:eastAsia="zh-CN"/>
        </w:rPr>
      </w:pPr>
      <w:r>
        <w:rPr>
          <w:rFonts w:hint="eastAsia" w:ascii="Times New Roman" w:hAnsi="Times New Roman" w:eastAsia="华文行楷" w:cs="Times New Roman"/>
          <w:color w:val="FF0000"/>
          <w:spacing w:val="-60"/>
          <w:sz w:val="110"/>
          <w:szCs w:val="110"/>
          <w:lang w:val="en-US" w:eastAsia="zh-CN"/>
        </w:rPr>
        <w:t>政治</w:t>
      </w:r>
      <w:r>
        <w:rPr>
          <w:rFonts w:ascii="Times New Roman" w:hAnsi="Times New Roman" w:eastAsia="华文行楷" w:cs="Times New Roman"/>
          <w:color w:val="FF0000"/>
          <w:spacing w:val="-60"/>
          <w:sz w:val="110"/>
          <w:szCs w:val="110"/>
        </w:rPr>
        <w:t>理论学习</w:t>
      </w:r>
      <w:r>
        <w:rPr>
          <w:rFonts w:hint="eastAsia" w:ascii="Times New Roman" w:hAnsi="Times New Roman" w:eastAsia="华文行楷" w:cs="Times New Roman"/>
          <w:color w:val="FF0000"/>
          <w:spacing w:val="-60"/>
          <w:sz w:val="110"/>
          <w:szCs w:val="110"/>
          <w:lang w:val="en-US" w:eastAsia="zh-CN"/>
        </w:rPr>
        <w:t>资料</w:t>
      </w:r>
    </w:p>
    <w:p>
      <w:pPr>
        <w:spacing w:after="192" w:afterLines="50" w:line="500" w:lineRule="exact"/>
        <w:ind w:left="0" w:leftChars="0" w:firstLine="0" w:firstLineChars="0"/>
        <w:jc w:val="center"/>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2024年第13期（3月25日-31日）</w:t>
      </w:r>
    </w:p>
    <w:p>
      <w:pPr>
        <w:spacing w:after="192" w:afterLines="50" w:line="500" w:lineRule="exact"/>
        <w:ind w:left="0" w:leftChars="0" w:firstLine="0" w:firstLineChars="0"/>
        <w:jc w:val="left"/>
        <w:rPr>
          <w:rFonts w:ascii="Times New Roman" w:hAnsi="Times New Roman" w:eastAsia="楷体_GB2312" w:cs="Times New Roman"/>
          <w:sz w:val="30"/>
          <w:szCs w:val="30"/>
        </w:rPr>
      </w:pPr>
      <w:r>
        <w:rPr>
          <w:rFonts w:hint="eastAsia" w:ascii="Times New Roman" w:hAnsi="Times New Roman" w:eastAsia="楷体_GB2312" w:cs="Times New Roman"/>
          <w:sz w:val="30"/>
          <w:szCs w:val="30"/>
          <w:lang w:val="en-US" w:eastAsia="zh-CN"/>
        </w:rPr>
        <w:t xml:space="preserve">党委宣传部编印  </w:t>
      </w:r>
      <w:r>
        <w:rPr>
          <w:rFonts w:hint="eastAsia" w:ascii="仿宋_GB2312" w:hAnsi="仿宋_GB2312" w:eastAsia="仿宋_GB2312" w:cs="仿宋_GB2312"/>
          <w:sz w:val="32"/>
          <w:szCs w:val="32"/>
        </w:rPr>
        <w:t xml:space="preserve">  </w:t>
      </w:r>
      <w:r>
        <w:rPr>
          <w:rFonts w:ascii="Times New Roman" w:hAnsi="Times New Roman" w:eastAsia="楷体_GB2312" w:cs="Times New Roman"/>
          <w:sz w:val="30"/>
          <w:szCs w:val="30"/>
        </w:rPr>
        <w:t xml:space="preserve">                      </w:t>
      </w:r>
      <w:r>
        <w:rPr>
          <w:rFonts w:hint="eastAsia" w:ascii="Times New Roman" w:hAnsi="Times New Roman" w:eastAsia="楷体_GB2312" w:cs="Times New Roman"/>
          <w:sz w:val="30"/>
          <w:szCs w:val="30"/>
          <w:lang w:val="en-US" w:eastAsia="zh-CN"/>
        </w:rPr>
        <w:t>2024年3月25日</w:t>
      </w:r>
      <w:r>
        <w:rPr>
          <w:rFonts w:ascii="Times New Roman" w:hAnsi="Times New Roman" w:eastAsia="楷体_GB2312" w:cs="Times New Roman"/>
          <w:sz w:val="30"/>
          <w:szCs w:val="30"/>
        </w:rPr>
        <w:t xml:space="preserve">  </w:t>
      </w:r>
    </w:p>
    <w:p>
      <w:pPr>
        <w:ind w:firstLine="56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17780</wp:posOffset>
                </wp:positionV>
                <wp:extent cx="5715000" cy="30480"/>
                <wp:effectExtent l="0" t="19050" r="0" b="266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15000" cy="30480"/>
                        </a:xfrm>
                        <a:prstGeom prst="line">
                          <a:avLst/>
                        </a:prstGeom>
                        <a:noFill/>
                        <a:ln w="38100" cmpd="sng">
                          <a:solidFill>
                            <a:srgbClr val="FF0000"/>
                          </a:solidFill>
                          <a:round/>
                        </a:ln>
                      </wps:spPr>
                      <wps:bodyPr/>
                    </wps:wsp>
                  </a:graphicData>
                </a:graphic>
              </wp:anchor>
            </w:drawing>
          </mc:Choice>
          <mc:Fallback>
            <w:pict>
              <v:line id="_x0000_s1026" o:spid="_x0000_s1026" o:spt="20" style="position:absolute;left:0pt;flip:y;margin-left:-9.75pt;margin-top:1.4pt;height:2.4pt;width:450pt;z-index:251659264;mso-width-relative:page;mso-height-relative:page;" filled="f" stroked="t" coordsize="21600,21600" o:gfxdata="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ekVl1wAAAAcBAAAPAAAAAAAAAAEAIAAAACIAAABkcnMvZG93bnJldi54bWxQSwEC&#10;FAAUAAAACACHTuJAEHwz9PUBAADEAwAADgAAAAAAAAABACAAAAAmAQAAZHJzL2Uyb0RvYy54bWxQ&#10;SwUGAAAAAAYABgBZAQAAjQUAAAAA&#10;">
                <v:fill on="f" focussize="0,0"/>
                <v:stroke weight="3pt" color="#FF0000" joinstyle="round"/>
                <v:imagedata o:title=""/>
                <o:lock v:ext="edit" aspectratio="f"/>
              </v:line>
            </w:pict>
          </mc:Fallback>
        </mc:AlternateContent>
      </w:r>
    </w:p>
    <w:p>
      <w:pPr>
        <w:ind w:left="0" w:leftChars="0" w:firstLine="0" w:firstLineChars="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color w:val="000000"/>
          <w:sz w:val="44"/>
        </w:rPr>
        <w:t>本期政治理论学习</w:t>
      </w:r>
      <w:r>
        <w:rPr>
          <w:rFonts w:hint="eastAsia" w:ascii="方正小标宋简体" w:hAnsi="方正小标宋简体" w:eastAsia="方正小标宋简体" w:cs="方正小标宋简体"/>
          <w:color w:val="000000"/>
          <w:sz w:val="44"/>
          <w:lang w:val="en-US" w:eastAsia="zh-CN"/>
        </w:rPr>
        <w:t>内容</w:t>
      </w:r>
      <w:r>
        <w:rPr>
          <w:rFonts w:hint="eastAsia" w:ascii="方正小标宋简体" w:hAnsi="方正小标宋简体" w:eastAsia="方正小标宋简体" w:cs="方正小标宋简体"/>
          <w:color w:val="000000"/>
          <w:sz w:val="44"/>
        </w:rPr>
        <w:t>目录</w:t>
      </w:r>
    </w:p>
    <w:p>
      <w:pPr>
        <w:rPr>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1.习近平主持召开新时代推动中部地区崛起座谈会强调 在更高起点上扎实推动中部地区崛起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2.习近平在湖南考察时强调 坚持改革创新求真务实 奋力谱写中国式现代化湖南篇章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3.《求是》杂志发表习近平总书记重要文章《时刻保持解决大党独有难题的清醒和坚定，把党的伟大自我革命进行到底》</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sectPr>
          <w:pgSz w:w="11906" w:h="16838"/>
          <w:pgMar w:top="1440" w:right="1800" w:bottom="1440" w:left="1800" w:header="851" w:footer="992" w:gutter="0"/>
          <w:pgNumType w:fmt="decimal"/>
          <w:cols w:space="425" w:num="1"/>
          <w:docGrid w:type="lines" w:linePitch="312" w:charSpace="0"/>
        </w:sect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w w:val="82"/>
          <w:sz w:val="44"/>
          <w:szCs w:val="44"/>
        </w:rPr>
        <w:t>习近平主持召开新时代推动中部地区崛起座谈会强调</w:t>
      </w:r>
      <w:r>
        <w:rPr>
          <w:rFonts w:hint="eastAsia" w:ascii="方正小标宋简体" w:hAnsi="方正小标宋简体" w:eastAsia="方正小标宋简体" w:cs="方正小标宋简体"/>
          <w:w w:val="82"/>
          <w:sz w:val="44"/>
          <w:szCs w:val="44"/>
        </w:rPr>
        <w:br w:type="textWrapping"/>
      </w:r>
      <w:r>
        <w:rPr>
          <w:rFonts w:hint="eastAsia" w:ascii="方正小标宋简体" w:hAnsi="方正小标宋简体" w:eastAsia="方正小标宋简体" w:cs="方正小标宋简体"/>
          <w:sz w:val="44"/>
          <w:szCs w:val="44"/>
        </w:rPr>
        <w:t>在更高起点上扎实推动中部地区崛起</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9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新华社长沙3月20日电　中共中央总书记、国家主席、中央军委主席习近平20日下午在湖南省长沙市主持召开新时代推动中部地区崛起座谈会并发表重要讲话。他强调，中部地区是我国重要粮食生产基地、能源原材料基地、现代装备制造及高技术产业基地和综合交通运输枢纽，在全国具有举足轻重的地位。要一以贯之抓好党中央推动中部地区崛起一系列政策举措的贯彻落实，形成推动高质量发展的合力，在中国式现代化建设中奋力谱写中部地区崛起新篇章。</w:t>
      </w: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中共中央政治局常委、国务院总理李强，中共中央政治局常委、中央办公厅主任蔡奇，中共中央政治局常委、国务院副总理丁薛祥出席座谈会。</w:t>
      </w: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座谈会上，国家发展改革委主任郑栅洁、山西省委书记唐登杰、安徽省委书记韩俊、江西省委书记尹弘、河南省委书记楼阳生、湖北省委书记王蒙徽、湖南省委书记沈晓明先后发言，就推动中部地区崛起汇报工作情况、提出意见建议。</w:t>
      </w: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听取大家发言后，习近平发表了重要讲话。他指出，上一次推动中部地区崛起座谈会召开5年来，中部区域经济总体平稳，创新发展动能不断增强，产业基础明显改善，改革开放迈出新步伐，社会事业全面发展，人民生活水平持续提升，绿色低碳转型步伐加快，中部地区发展站到了更高起点上。同时要看到，推动中部地区崛起仍面临不少困难和挑战，要切实研究解决。</w:t>
      </w: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要以科技创新引领产业创新，积极培育和发展新质生产力。立足实体经济这个根基，做大做强先进制造业，积极推进新型工业化，改造提升传统产业，培育壮大新兴产业，超前布局建设未来产业，加快构建以先进制造业为支撑的现代化产业体系。更加重视科技创新和产业创新的深度融合，加强重大科技攻关，增强产业创新发展的技术支撑能力。强化企业创新主体地位，构建上下游紧密合作的创新联合体，促进产学研融通创新，加快科技成果向现实生产力转化。深入实施制造业重大技术改造升级和大规模设备更新工程，推动制造业高端化、智能化、绿色化发展，让传统产业焕发新的生机活力。</w:t>
      </w: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要加强与其他重大发展战略的衔接，更好融入和支撑新发展格局。加强与京津冀、长三角、粤港澳大湾区深度对接，加强与长江经济带发展、黄河流域生态保护和高质量发展的融合联动。有序承接产业梯度转移，优化产业布局。加强现代化交通基础设施体系建设，强化中部地区的大通道格局。建立健全区域内省际合作机制，提升区域协同发展水平。大力促进长江中游城市群和中原城市群发展，加强都市圈之间协调联动，更好辐射带动周边地区发展。</w:t>
      </w: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要统筹推进深层次改革和高水平开放，持续打造更具竞争力的内陆开放高地。深化要素市场化改革，完善市场经济基础制度，全面清理纠正地方保护行为，推动各种生产力要素跨区域合理流动和优化配置，更好参与全国统一大市场建设。稳步扩大制度型开放，深度融入共建“一带一路”，主动对接新亚欧大陆桥、西部陆海新通道，高标准建设自由贸易试验区，打造更多高能级对外开放合作平台，在联通国内国际双循环方面发挥更大作用。加强市场化法治化国际化营商环境建设，增强对国内外要素资源的吸引力。坚持“两个毫不动摇”，支持国有企业做强做优做大，进一步优化民营企业发展环境。</w:t>
      </w: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要协同推进生态环境保护和绿色低碳发展，加快建设美丽中部。持续深入打好污染防治攻坚战，加强大江大河和重要湖泊生态环境系统治理、综合治理、协同治理，加快补齐城镇生活污水收集和处理设施短板。推进产业、能源、交通运输结构绿色低碳转型，加快培育壮大绿色低碳产业，加强资源节约集约循环利用。完善流域横向生态保护补偿机制和生态产品价值实现机制，推进产业生态化和生态产业化。</w:t>
      </w: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要坚持城乡融合发展，扎实推进乡村全面振兴。推进以县城为重要载体的新型城镇化建设，推动城乡之间公共资源均衡配置和生产要素自由流动，推动城市基础设施和公共服务向农村延伸。进一步改善农村基础设施，加强乡村环境整治，推进农业适度规模经营，促进一二三产业融合发展。进一步深化农村改革，完善强农惠农富民支持制度，充分激发农业农村发展活力。大力发展县域经济，形成新的增长点。高度重视革命老区和欠发达县（市、区）振兴发展，补齐公共服务短板，发展壮大特色产业，增强内生发展动力。健全防止返贫监测帮扶机制，防止出现规模性返贫。大力推进乡村文化振兴，推动移风易俗。健全党组织领导的自治、法治、德治相结合的基层治理体系，坚持和发展新时代“枫桥经验”，实现扫黑除恶常态化，营造积极健康的社会生态。</w:t>
      </w: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要坚持高质量发展和高水平安全相互促进，努力提升粮食能源资源安全保障能力。高质量推进粮食生产功能区、重要农产品生产保护区和特色农产品优势区建设，打造一批绿色农产品生产加工供应基地，确保粮食等重要农产品稳定安全供给。进一步提升煤炭、稀土等资源开发利用水平，增强煤炭等化石能源兜底保障能力，加快建设新型能源体系，注重传统能源与新能源多能互补、深度融合。</w:t>
      </w: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最后强调，中央区域协调发展领导小组要加强统筹协调和督促指导，中央有关部门要加大支持力度，研究提出新时代推动中部地区崛起的政策举措。地方党委和政府要扛起主体责任，坚决贯彻党中央决策部署，推动重点工作任务、重大改革事项落实落地。要巩固拓展主题教育成果，着力打造忠诚干净担当的高素质专业化干部队伍，建立健全考核激励制度，激励干部大胆开拓、担当作为。</w:t>
      </w: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李强在讲话中表示，要认真学习领会、深入贯彻落实习近平总书记重要讲话精神，把中部地区放到整个国家版图中、放到支撑构建新发展格局中来定位思考，努力把区位优势、资源优势转化为发展优势。中部地区要主动对接其他区域发展战略，积极引进东部地区产业创新资源，增强对西部地区的辐射带动作用，提升对外开放水平。要着力锻长板补短板，在新型城镇化、绿色低碳发展等方面发挥优势、释放潜能，推动区域内部加强合作、整体联动，提升中部地区整体实力和竞争力。</w:t>
      </w: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丁薛祥在讲话中表示，要深入学习贯彻党的二十大精神和习近平总书记重要讲话精神，紧扣高质量发展要求，推动中部地区崛起不断取得新成效。加强科技创新和产业创新深度融合，因地制宜加快发展新质生产力。大力提升粮食、能源资源安全保障能力，实现高质量发展和高水平安全良性互动。深化全国统一大市场建设和高水平开放合作，不断增强发展内生动力和活力。持之以恒抓好生态环境保护，厚植高质量发展的绿色底色。</w:t>
      </w: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李干杰、何立峰、吴政隆、穆虹出席座谈会，中央和国家机关有关部门、有关地方、有关企业负责同志参加座谈会。</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习近平在湖南考察时强调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坚持改革创新求真务实</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奋力谱写中国式现代化湖南篇章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新华社长沙3月21日电　中共中央总书记、国家主席、中央军委主席习近平近日在湖南考察时强调，湖南要牢牢把握自身在构建新发展格局中的战略定位，坚持稳中求进工作总基调，坚持高质量发展不动摇，坚持改革创新、求真务实，在打造国家重要先进制造业高地、具有核心竞争力的科技创新高地、内陆地区改革开放高地上持续用力，在推动中部地区崛起和长江经济带发展中奋勇争先，奋力谱写中国式现代化湖南篇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3月18日至21日，习近平在湖南省委书记沈晓明和省长毛伟明陪同下，先后来到长沙、常德等地，深入学校、企业、历史文化街区、乡村等进行调研。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18日下午，习近平来到湖南第一师范学院（城南书院校区）考察。该校前身是创办于宋代的城南书院，近代以来培养了一批老一辈无产阶级革命家和名师大家。习近平参观青年毛泽东主题展览，了解学院发展沿革和用好红色资源等情况。在学院大厅，习近平同师生代表亲切交流。他说，国家要强大，必须办好教育。一师是开展爱国主义教育、传承红色基因的好地方，要把这一红色资源保护运用好。学校要立德树人，教师要当好大先生，不仅要注重提高学生知识文化素养，更要上好思政课，教育引导学生明德知耻，树牢社会主义核心价值观，立报国强国大志向，努力成为堪当强国建设、民族复兴大任的栋梁之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随后，习近平来到巴斯夫杉杉电池材料有限公司考察。这是一家主营锂离子电池正极材料研发、生产和销售的中德合资企业。习近平听取当地加快发展新质生产力、扩大高水平对外开放等情况介绍，察看企业产品展示，了解材料性能测试情况和电池生产流程。他强调，科技创新、高质量发展是企业不断成长壮大、立于不败之地的关键所在，民营企业、合资企业在这方面都可以大有作为。中国开放的大门会越开越大，我们愿意同世界各国加强交流合作，欢迎更多外国企业来华投资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19日，习近平到常德市考察调研。位于沅江江畔的常德河街历史悠久，曾毁于1943年的常德战役。近年来，常德市复原老河街风貌，将此地打造成为历史文化街区。当天上午，习近平来到常德河街，察看各种特色小吃、特产、特色工艺品，同店主和游客亲切交流，并欣赏非物质文化遗产技艺展示，详细了解常德老城街道修复利用、城市规划、水环境综合治理等情况。习近平指出，多姿多彩的地方特色传统文化，共同构成璀璨的中华文明，也助推经济社会发展。常德是有文化传承的地方，这里的丝弦、高腔、号子等要以适当载体传承好利用好，与时俱进发展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湖南是全国13个粮食主产省之一，水稻播种面积、总产量均居全国第一。当天下午，习近平来到常德市鼎城区谢家铺镇港中坪村，走进当地粮食生产万亩综合示范片区，察看秧苗培育和春耕备耕进展，听取高质量推进农业现代化情况介绍，并同种粮大户、农技人员、基层干部一笔一笔算投入产出账。习近平强调，我国有14亿多人口，粮食安全必须靠我们自己保证，中国人的饭碗应该主要装中国粮。要建设好高标准农田，推行适度规模经营，加强政策支持和示范引领，加大良种、良机、良法推广力度，在精耕细作上下功夫，进一步把粮食单产和品质提上去，让种粮也能够致富，进而吸引更多农户参与发展现代化大农业，真正把中国特色农业现代化之路走稳走扎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随后来到种粮大户戴宏家中，察看农机具和春耕物资准备，并前往村党群服务中心了解当地为基层减负、提升基层治理效能等情况。他指出，要坚决整治形式主义、官僚主义问题，精兵简政，持之以恒抓好这项工作。他勉励基层干部在产业发展和乡村治理上群策群力，不断干出让农民群众认可的实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离开时，村民们纷纷围拢过来欢送总书记。习近平满怀深情地对大家说，党中央高度重视“三农”工作，一定会采取切实有力的政策举措，回应老百姓的关切和需求，把乡村振兴的美好蓝图变为现实。掌声在村庄久久回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21日上午，习近平听取了湖南省委和省政府工作汇报，对湖南各项工作取得的成绩给予肯定。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科技创新是发展新质生产力的核心要素。要在以科技创新引领产业创新方面下更大功夫，主动对接国家战略科技力量，积极引进国内外一流研发机构，提高关键领域自主创新能力。强化企业科技创新主体地位，促进创新链产业链资金链人才链深度融合，推动科技成果加快转化为现实生产力。聚焦优势产业，强化产业基础再造和重大技术装备攻关，继续做大做强先进制造业，推动产业高端化、智能化、绿色化发展，打造国家级产业集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进一步全面深化改革要突出问题导向，着力解决制约构建新发展格局和推动高质量发展的卡点堵点问题、发展环境和民生领域的痛点难点问题、有悖社会公平正义的焦点热点问题，有效防范化解重大风险，不断为经济社会发展增动力、添活力。湖南要加强改革系统集成，更好参与全国统一大市场建设，全面融入中部地区崛起和长江经济带发展战略，深度融入共建“一带一路”，稳步扩大制度型开放，高标准建设好自由贸易试验区，着力打造中非经贸深度合作先行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推进乡村全面振兴是新时代新征程“三农”工作的总抓手。湖南要扛起维护国家粮食安全的重任，抓住种子和耕地两个要害，加快种业、农机关键核心技术攻关。坚持大农业观、大食物观，积极发展特色农业和农产品加工业，提升农业产业化水平。深入推进城乡融合发展，壮大县域经济，畅通城乡要素双向流动，科学统筹乡村基础设施和公共服务布局。切实加强乡村精神文明建设，大力推动移风易俗。健全党组织领导的自治、法治、德治相结合的基层治理体系，坚持和发展新时代“枫桥经验”。落实防止返贫监测帮扶机制，坚决守住不发生规模性返贫的底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湖南要更好担负起新的文化使命，在建设中华民族现代文明中展现新作为。保护好、运用好红色资源，加强革命传统和爱国主义教育，引导广大干部群众发扬优良传统、赓续红色血脉，践行社会主义核心价值观，培育时代新风新貌。探索文化和科技融合的有效机制，加快发展新型文化业态，形成更多新的文化产业增长点。推进文化和旅游深度融合，守护好三湘大地的青山绿水、蓝天净土，把自然风光和人文风情转化为旅游业的持久魅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推动高质量发展、推进中国式现代化，必须加强和改进党的建设。要巩固拓展主题教育成果，建立健全长效机制，树立和践行正确政绩观，持续深化整治形式主义为基层减负。组织开展好党纪学习教育，引导党员干部学纪、知纪、明纪、守纪，督促领导干部树立正确权力观，公正用权、依法用权、为民用权、廉洁用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中共中央政治局常委、中央办公厅主任蔡奇陪同考察。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李干杰、何立峰及中央和国家机关有关部门负责同志陪同考察。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3月20日上午，习近平在长沙亲切接见驻长沙部队上校以上领导干部，代表党中央和中央军委向驻长沙部队全体官兵致以诚挚问候，并同大家合影留念。张又侠陪同接见。</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时刻保持解决大党独有难题的清醒和坚定，把党的伟大自我革命进行到底习近平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治国必先治党，党兴才能国强。党的二十大发出了为全面建设社会主义现代化国家、全面推进中华民族伟大复兴而团结奋斗的伟大号召，党领导的社会革命迈上新征程，党的自我革命必须展现新气象，全面从严治党更要有新的认识、新的作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过去10年，面对党内一系列突出矛盾和问题，党中央把全面从严治党纳入“四个全面”战略布局，刀刃向内、刮骨疗毒，猛药去疴、重典治乱，使党在革命性锻造中变得更加坚强有力。党的二十大深刻总结全面从严治党十年磨一剑的历史性成就，进一步要求全党时刻保持解决大党独有难题的清醒和坚定。这是我们党从所处的历史方位、肩负的使命任务、面临的复杂环境出发，深刻把握党的根本性质和党情发展变化，对新时代新征程全面从严治党提出的新的重大命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我们党是在马克思主义建党学说指导下、按照民主集中制原则建立起来的世界最大政党，在世界上人口最多的国家长期执政，历史久、人数多、规模大，既有办大事、建伟业的巨大优势，也面临治党治国的特殊难题。我看，至少有以下几大难题需要进一步研究解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如何始终不忘初心、牢记使命。党的事业伟大而艰巨、任重而道远，有人走着走着就忘记了为什么出发，忘记了共产主义远大理想和中国特色社会主义共同理想，忘记了我是谁、为了谁、依靠谁，从而丧失了共产党人的本色。我们必须坚守奠基创业时的初心，坚守党的理想信念宗旨，始终为中国人民谋幸福、为中华民族谋复兴，始终保持党同人民群众的血肉联系，永葆党的先进性和纯洁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如何始终统一思想、统一意志、统一行动。党的规模大了，一些人容易出现搞小山头、小圈子、小团伙现象，容易出现尾大不掉、自行其是问题，破坏党的团结统一，影响党的凝聚力战斗力。随着改革开放逐步深入，社会利益多元化、思想多样化也深刻影响到党员、干部的观念和行为。我们必须在重大问题、严峻形势面前始终心往一处想、劲往一处使，做到凝心聚力、众志成城，确保全党紧密团结在党中央周围，步调一致向前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如何始终具备强大的执政能力和领导水平。百年大党长期执政，思维惯性、行为惰性客观存在，一些老观念、老套路、老办法容易相沿成习，队伍不断发展壮大也带来干部良莠并存、参差不齐。我们必须与时俱进提高科学执政、民主执政、依法执政水平，克服干部队伍中存在的能力不足、本领恐慌，确保适应新时代要求、具备领导现代化建设能力，做到政治过硬、本领高强，堪当民族复兴重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如何始终保持干事创业精神状态。执政几十年承平日久，许多党员、干部没有经历过生死考验，缺乏严峻斗争和艰苦环境的磨砺，容易追求安逸享乐而意志消沉、不思进取，容易在具有许多新的历史特点的伟大斗争面前慌了心神、乱了阵脚。我们必须始终保持艰苦奋斗、奋发有为的精气神，敢于斗争、善于斗争，勇于担当作为，全力战胜前进道路上各种困难和挑战，依靠顽强斗争不断打开事业发展新天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如何始终能够及时发现和解决自身存在的问题。堡垒最容易从内部被攻破，能打败我们的只有我们自己。我们这么大一个党，有着光荣的历史、伟大的成就，一些人很容易在执政业绩光环的照耀下出现忽略自身不足、忽视自身问题的现象，陷入“革别人命容易，革自己命难”的境地。我们必须坚持真理、修正错误，始终顺乎潮流、顺应民心，发扬经验、吸取教训，在世界形势深刻变化的历史进程中始终走在时代前列、朝着正确方向前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如何始终保持风清气正的政治生态。长期以来，各种弱化党的先进性、损害党的纯洁性的因素无时不有，各种侵蚀党的肌体健康的病毒无处不在，如果不严加防范，经常打扫政治灰尘，久而久之必将积重难返。我们必须常怀忧患意识、底线思维，始终保持刀刃向内的坚定自觉，补钙壮骨、排毒杀菌、祛病疗伤、去腐生肌，涵养积极健康的党内政治文化，持续净化党内政治生态，汇聚激浊扬清的强大正能量，使党永远不变质、不变色、不变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解决好上述难题，是实现新时代新征程党的使命任务必须迈过的一道坎，是全面从严治党适应新形势新要求必须啃下的硬骨头。面对全面建成社会主义现代化强国、以中国式现代化全面推进中华民族伟大复兴的崇高使命，面对前进道路上风高浪急甚至惊涛骇浪的重大挑战，面对长期存在的“四大考验”、“四种危险”，解决大党独有难题必然是一个长期而艰巨的过程，这就决定了全面从严治党永远在路上，党的自我革命永远在路上。我们一定要站在事关党长期执政、国家长治久安、人民幸福安康的高度，把全面从严治党作为党的长期战略、永恒课题，坚决摒弃权宜之计、一时之举的思想，坚决克服松劲歇脚、疲劳厌战的情绪，坚决防止转变风向、降调变调的错误期待，始终坚持问题导向，保持战略定力，发扬彻底的自我革命精神，永远吹冲锋号，把严的基调、严的措施、严的氛围长期坚持下去，把党的伟大自我革命进行到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新征程上，全面从严治党要更好发挥政治引领和政治保障作用，更好推进党和国家事业发展，必须把促进全党牢记“三个务必”、践行党的宗旨作为根本指向，把从严管理监督和鼓励担当作为高度统一起来，从而锻造更为坚强的领导力量，凝聚更为广泛的奋斗力量。全面从严治党的目的不是要把人管死，让人瞻前顾后、畏首畏尾，搞成暮气沉沉、无所作为的一潭死水，而是要通过明方向、立规矩、正风气、强免疫，营造积极健康、干事创业的政治生态和良好环境。要不断探索完善全面从严治党的有效举措，坚持“三个区分开来”，坚持严管和厚爱结合、激励和约束并重，更好激发广大党员、干部的积极性、主动性、创造性，形成奋进新征程、建功新时代的浓厚氛围和生动局面。</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这是习近平总书记2023年1月9日在二十届中央纪委二次全会上讲话的一部分。</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TViMTI0M2FmNTlmZjE5NTRkZDZlYTcyOTkxMjQifQ=="/>
  </w:docVars>
  <w:rsids>
    <w:rsidRoot w:val="00A548DD"/>
    <w:rsid w:val="00A548DD"/>
    <w:rsid w:val="02EB4148"/>
    <w:rsid w:val="317D48CD"/>
    <w:rsid w:val="605C1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2024-03-21T05:45:00Z</dcterms:created>
  <dc:creator>林小丽</dc:creator>
  <cp:lastModifiedBy>林小丽</cp:lastModifiedBy>
  <cp:lastPrinted>2024-03-21T07:05:00Z</cp:lastPrinted>
  <dcterms:modified xsi:type="dcterms:W3CDTF">2024-03-25T03:09:24Z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9742E5AD4CA04274A5346ACE173DAC97_11</vt:lpwstr>
  </property>
</Properties>
</file>